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A7" w:rsidRPr="000169A7" w:rsidRDefault="000169A7" w:rsidP="004B56B4">
      <w:pPr>
        <w:tabs>
          <w:tab w:val="left" w:pos="1080"/>
        </w:tabs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169A7">
        <w:rPr>
          <w:rFonts w:ascii="Arial" w:hAnsi="Arial" w:cs="Arial"/>
          <w:b/>
          <w:sz w:val="20"/>
          <w:szCs w:val="20"/>
        </w:rPr>
        <w:t>TBB: Annual General Mandate</w:t>
      </w:r>
    </w:p>
    <w:p w:rsidR="004B56B4" w:rsidRDefault="004B56B4" w:rsidP="004B56B4">
      <w:pPr>
        <w:tabs>
          <w:tab w:val="left" w:pos="108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29 April 2017, Tien Bo Corporation Joint Stock Company announced:</w:t>
      </w:r>
    </w:p>
    <w:p w:rsidR="00D87210" w:rsidRPr="00517640" w:rsidRDefault="00D87210" w:rsidP="006815DF">
      <w:pPr>
        <w:spacing w:before="60"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B56B4">
        <w:rPr>
          <w:rFonts w:ascii="Arial" w:hAnsi="Arial" w:cs="Arial"/>
          <w:b/>
          <w:sz w:val="20"/>
          <w:szCs w:val="20"/>
          <w:u w:val="single"/>
        </w:rPr>
        <w:t>Article 1:</w:t>
      </w:r>
      <w:r w:rsidRPr="00517640">
        <w:rPr>
          <w:rFonts w:ascii="Arial" w:hAnsi="Arial" w:cs="Arial"/>
          <w:sz w:val="20"/>
          <w:szCs w:val="20"/>
        </w:rPr>
        <w:t xml:space="preserve"> G</w:t>
      </w:r>
      <w:r w:rsidR="004B56B4">
        <w:rPr>
          <w:rFonts w:ascii="Arial" w:hAnsi="Arial" w:cs="Arial"/>
          <w:sz w:val="20"/>
          <w:szCs w:val="20"/>
        </w:rPr>
        <w:t>eneral Meeting of Shareholders a</w:t>
      </w:r>
      <w:r w:rsidRPr="00517640">
        <w:rPr>
          <w:rFonts w:ascii="Arial" w:hAnsi="Arial" w:cs="Arial"/>
          <w:sz w:val="20"/>
          <w:szCs w:val="20"/>
        </w:rPr>
        <w:t>pproves the report of the Board of Directors</w:t>
      </w:r>
      <w:r w:rsidR="004B56B4">
        <w:rPr>
          <w:rFonts w:ascii="Arial" w:hAnsi="Arial" w:cs="Arial"/>
          <w:sz w:val="20"/>
          <w:szCs w:val="20"/>
        </w:rPr>
        <w:t xml:space="preserve"> </w:t>
      </w:r>
      <w:r w:rsidRPr="00517640">
        <w:rPr>
          <w:rFonts w:ascii="Arial" w:hAnsi="Arial" w:cs="Arial"/>
          <w:sz w:val="20"/>
          <w:szCs w:val="20"/>
        </w:rPr>
        <w:t>2017</w:t>
      </w:r>
    </w:p>
    <w:p w:rsidR="00E238DF" w:rsidRPr="00517640" w:rsidRDefault="00D87210" w:rsidP="004B56B4">
      <w:pPr>
        <w:spacing w:before="60"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B56B4">
        <w:rPr>
          <w:rFonts w:ascii="Arial" w:hAnsi="Arial" w:cs="Arial"/>
          <w:b/>
          <w:sz w:val="20"/>
          <w:szCs w:val="20"/>
          <w:u w:val="single"/>
        </w:rPr>
        <w:t>Article 2</w:t>
      </w:r>
      <w:r w:rsidR="0091323C">
        <w:rPr>
          <w:rFonts w:ascii="Arial" w:hAnsi="Arial" w:cs="Arial"/>
          <w:sz w:val="20"/>
          <w:szCs w:val="20"/>
        </w:rPr>
        <w:t xml:space="preserve">: Approve </w:t>
      </w:r>
      <w:r w:rsidRPr="00517640">
        <w:rPr>
          <w:rFonts w:ascii="Arial" w:hAnsi="Arial" w:cs="Arial"/>
          <w:sz w:val="20"/>
          <w:szCs w:val="20"/>
        </w:rPr>
        <w:t>the report on business results for 2016 and the business plan of 2017 as follows:</w:t>
      </w:r>
    </w:p>
    <w:p w:rsidR="00E238DF" w:rsidRDefault="00E238DF" w:rsidP="006815DF">
      <w:pPr>
        <w:numPr>
          <w:ilvl w:val="0"/>
          <w:numId w:val="24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Business results in 2016</w:t>
      </w:r>
    </w:p>
    <w:p w:rsidR="004B56B4" w:rsidRPr="004B56B4" w:rsidRDefault="004B56B4" w:rsidP="004B56B4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"/>
          <w:szCs w:val="20"/>
        </w:rPr>
      </w:pPr>
    </w:p>
    <w:tbl>
      <w:tblPr>
        <w:tblW w:w="867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38"/>
        <w:gridCol w:w="2062"/>
        <w:gridCol w:w="1726"/>
      </w:tblGrid>
      <w:tr w:rsidR="009134BE" w:rsidRPr="006815DF">
        <w:tc>
          <w:tcPr>
            <w:tcW w:w="2448" w:type="dxa"/>
            <w:shd w:val="clear" w:color="auto" w:fill="auto"/>
            <w:vAlign w:val="center"/>
          </w:tcPr>
          <w:p w:rsidR="00E238DF" w:rsidRPr="006815DF" w:rsidRDefault="00E238DF" w:rsidP="00612F3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DF">
              <w:rPr>
                <w:rFonts w:ascii="Arial" w:hAnsi="Arial" w:cs="Arial"/>
                <w:b/>
                <w:sz w:val="20"/>
                <w:szCs w:val="20"/>
              </w:rPr>
              <w:t>Business results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238DF" w:rsidRPr="006815DF" w:rsidRDefault="00E238DF" w:rsidP="00612F38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DF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238DF" w:rsidRPr="006815DF" w:rsidRDefault="00E238DF" w:rsidP="00612F3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DF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E238DF" w:rsidRPr="006815DF" w:rsidRDefault="006815DF" w:rsidP="00612F3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Increase/ Decrease</w:t>
            </w:r>
          </w:p>
        </w:tc>
      </w:tr>
      <w:tr w:rsidR="009134BE" w:rsidRPr="00517640">
        <w:tc>
          <w:tcPr>
            <w:tcW w:w="2448" w:type="dxa"/>
            <w:shd w:val="clear" w:color="auto" w:fill="auto"/>
          </w:tcPr>
          <w:p w:rsidR="00E238DF" w:rsidRPr="00517640" w:rsidRDefault="00D81D3D" w:rsidP="00D81D3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815DF">
              <w:rPr>
                <w:rFonts w:ascii="Arial" w:hAnsi="Arial" w:cs="Arial"/>
                <w:sz w:val="20"/>
                <w:szCs w:val="20"/>
              </w:rPr>
              <w:t>T</w:t>
            </w:r>
            <w:r w:rsidR="00E238DF" w:rsidRPr="00517640">
              <w:rPr>
                <w:rFonts w:ascii="Arial" w:hAnsi="Arial" w:cs="Arial"/>
                <w:sz w:val="20"/>
                <w:szCs w:val="20"/>
              </w:rPr>
              <w:t>otal revenue</w:t>
            </w:r>
          </w:p>
        </w:tc>
        <w:tc>
          <w:tcPr>
            <w:tcW w:w="2438" w:type="dxa"/>
            <w:shd w:val="clear" w:color="auto" w:fill="auto"/>
          </w:tcPr>
          <w:p w:rsidR="00E238DF" w:rsidRPr="00517640" w:rsidRDefault="009134BE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153.820.729.300</w:t>
            </w:r>
          </w:p>
        </w:tc>
        <w:tc>
          <w:tcPr>
            <w:tcW w:w="2062" w:type="dxa"/>
            <w:shd w:val="clear" w:color="auto" w:fill="auto"/>
          </w:tcPr>
          <w:p w:rsidR="00E238DF" w:rsidRPr="00517640" w:rsidRDefault="009134BE" w:rsidP="00031F26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302.343.605.042</w:t>
            </w:r>
          </w:p>
        </w:tc>
        <w:tc>
          <w:tcPr>
            <w:tcW w:w="1726" w:type="dxa"/>
            <w:shd w:val="clear" w:color="auto" w:fill="auto"/>
          </w:tcPr>
          <w:p w:rsidR="00E238DF" w:rsidRPr="00517640" w:rsidRDefault="009134BE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95,65%</w:t>
            </w:r>
          </w:p>
        </w:tc>
      </w:tr>
      <w:tr w:rsidR="009134BE" w:rsidRPr="00517640">
        <w:tc>
          <w:tcPr>
            <w:tcW w:w="2448" w:type="dxa"/>
            <w:shd w:val="clear" w:color="auto" w:fill="auto"/>
          </w:tcPr>
          <w:p w:rsidR="00E238DF" w:rsidRPr="00517640" w:rsidRDefault="00D81D3D" w:rsidP="00D81D3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238DF" w:rsidRPr="00517640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2438" w:type="dxa"/>
            <w:shd w:val="clear" w:color="auto" w:fill="auto"/>
          </w:tcPr>
          <w:p w:rsidR="00E238DF" w:rsidRPr="00517640" w:rsidRDefault="009134BE" w:rsidP="009134BE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19.532.438.101</w:t>
            </w:r>
          </w:p>
        </w:tc>
        <w:tc>
          <w:tcPr>
            <w:tcW w:w="2062" w:type="dxa"/>
            <w:shd w:val="clear" w:color="auto" w:fill="auto"/>
          </w:tcPr>
          <w:p w:rsidR="00E238DF" w:rsidRPr="00517640" w:rsidRDefault="009134BE" w:rsidP="00031F26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37.587.387.720</w:t>
            </w:r>
          </w:p>
        </w:tc>
        <w:tc>
          <w:tcPr>
            <w:tcW w:w="1726" w:type="dxa"/>
            <w:shd w:val="clear" w:color="auto" w:fill="auto"/>
          </w:tcPr>
          <w:p w:rsidR="00E238DF" w:rsidRPr="00517640" w:rsidRDefault="009134BE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92,44</w:t>
            </w:r>
          </w:p>
        </w:tc>
      </w:tr>
      <w:tr w:rsidR="009134BE" w:rsidRPr="00517640">
        <w:tc>
          <w:tcPr>
            <w:tcW w:w="2448" w:type="dxa"/>
            <w:shd w:val="clear" w:color="auto" w:fill="auto"/>
          </w:tcPr>
          <w:p w:rsidR="00E238DF" w:rsidRPr="00517640" w:rsidRDefault="00D81D3D" w:rsidP="00D81D3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238DF" w:rsidRPr="00517640">
              <w:rPr>
                <w:rFonts w:ascii="Arial" w:hAnsi="Arial" w:cs="Arial"/>
                <w:sz w:val="20"/>
                <w:szCs w:val="20"/>
              </w:rPr>
              <w:t>Net profit</w:t>
            </w:r>
          </w:p>
        </w:tc>
        <w:tc>
          <w:tcPr>
            <w:tcW w:w="2438" w:type="dxa"/>
            <w:shd w:val="clear" w:color="auto" w:fill="auto"/>
          </w:tcPr>
          <w:p w:rsidR="00E238DF" w:rsidRPr="00517640" w:rsidRDefault="009134BE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15.157.450.961</w:t>
            </w:r>
          </w:p>
        </w:tc>
        <w:tc>
          <w:tcPr>
            <w:tcW w:w="2062" w:type="dxa"/>
            <w:shd w:val="clear" w:color="auto" w:fill="auto"/>
          </w:tcPr>
          <w:p w:rsidR="00E238DF" w:rsidRPr="00517640" w:rsidRDefault="009134BE" w:rsidP="00031F26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30.067.779.124</w:t>
            </w:r>
          </w:p>
        </w:tc>
        <w:tc>
          <w:tcPr>
            <w:tcW w:w="1726" w:type="dxa"/>
            <w:shd w:val="clear" w:color="auto" w:fill="auto"/>
          </w:tcPr>
          <w:p w:rsidR="00E238DF" w:rsidRPr="00517640" w:rsidRDefault="009134BE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98,37</w:t>
            </w:r>
          </w:p>
        </w:tc>
      </w:tr>
      <w:tr w:rsidR="009134BE" w:rsidRPr="00517640">
        <w:tc>
          <w:tcPr>
            <w:tcW w:w="2448" w:type="dxa"/>
            <w:shd w:val="clear" w:color="auto" w:fill="auto"/>
          </w:tcPr>
          <w:p w:rsidR="00E238DF" w:rsidRPr="00517640" w:rsidRDefault="009134BE" w:rsidP="00D81D3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13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D3D">
              <w:rPr>
                <w:rFonts w:ascii="Arial" w:hAnsi="Arial" w:cs="Arial"/>
                <w:sz w:val="20"/>
                <w:szCs w:val="20"/>
              </w:rPr>
              <w:t>Basic interest/</w:t>
            </w:r>
            <w:r w:rsidR="00E238DF" w:rsidRPr="00517640"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2438" w:type="dxa"/>
            <w:shd w:val="clear" w:color="auto" w:fill="auto"/>
          </w:tcPr>
          <w:p w:rsidR="00E238DF" w:rsidRPr="00517640" w:rsidRDefault="004B3BAB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2.653</w:t>
            </w:r>
          </w:p>
        </w:tc>
        <w:tc>
          <w:tcPr>
            <w:tcW w:w="2062" w:type="dxa"/>
            <w:shd w:val="clear" w:color="auto" w:fill="auto"/>
          </w:tcPr>
          <w:p w:rsidR="00E238DF" w:rsidRPr="00517640" w:rsidRDefault="004B3BAB" w:rsidP="00031F26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1.486</w:t>
            </w:r>
          </w:p>
        </w:tc>
        <w:tc>
          <w:tcPr>
            <w:tcW w:w="1726" w:type="dxa"/>
            <w:shd w:val="clear" w:color="auto" w:fill="auto"/>
          </w:tcPr>
          <w:p w:rsidR="00E238DF" w:rsidRPr="00517640" w:rsidRDefault="00031F26" w:rsidP="004B3BAB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4B3BAB">
              <w:rPr>
                <w:rFonts w:ascii="Arial" w:hAnsi="Arial" w:cs="Arial"/>
                <w:sz w:val="20"/>
                <w:szCs w:val="20"/>
              </w:rPr>
              <w:t>-43,98%</w:t>
            </w:r>
          </w:p>
        </w:tc>
      </w:tr>
      <w:tr w:rsidR="009134BE" w:rsidRPr="00517640">
        <w:tc>
          <w:tcPr>
            <w:tcW w:w="2448" w:type="dxa"/>
            <w:shd w:val="clear" w:color="auto" w:fill="auto"/>
          </w:tcPr>
          <w:p w:rsidR="00E238DF" w:rsidRPr="00517640" w:rsidRDefault="00D81D3D" w:rsidP="00D81D3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238DF" w:rsidRPr="00517640">
              <w:rPr>
                <w:rFonts w:ascii="Arial" w:hAnsi="Arial" w:cs="Arial"/>
                <w:sz w:val="20"/>
                <w:szCs w:val="20"/>
              </w:rPr>
              <w:t>Short-term assets</w:t>
            </w:r>
          </w:p>
        </w:tc>
        <w:tc>
          <w:tcPr>
            <w:tcW w:w="2438" w:type="dxa"/>
            <w:shd w:val="clear" w:color="auto" w:fill="auto"/>
          </w:tcPr>
          <w:p w:rsidR="00E238DF" w:rsidRPr="00517640" w:rsidRDefault="004B3BAB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165.611.481.258</w:t>
            </w:r>
          </w:p>
        </w:tc>
        <w:tc>
          <w:tcPr>
            <w:tcW w:w="2062" w:type="dxa"/>
            <w:shd w:val="clear" w:color="auto" w:fill="auto"/>
          </w:tcPr>
          <w:p w:rsidR="00E238DF" w:rsidRPr="00517640" w:rsidRDefault="004B3BAB" w:rsidP="00031F26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343.239.396.316</w:t>
            </w:r>
          </w:p>
        </w:tc>
        <w:tc>
          <w:tcPr>
            <w:tcW w:w="1726" w:type="dxa"/>
            <w:shd w:val="clear" w:color="auto" w:fill="auto"/>
          </w:tcPr>
          <w:p w:rsidR="00E238DF" w:rsidRPr="00517640" w:rsidRDefault="004B3BAB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107,25%</w:t>
            </w:r>
          </w:p>
        </w:tc>
      </w:tr>
      <w:tr w:rsidR="009134BE" w:rsidRPr="00517640">
        <w:tc>
          <w:tcPr>
            <w:tcW w:w="2448" w:type="dxa"/>
            <w:shd w:val="clear" w:color="auto" w:fill="auto"/>
          </w:tcPr>
          <w:p w:rsidR="00E238DF" w:rsidRPr="00517640" w:rsidRDefault="00D81D3D" w:rsidP="00D81D3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238DF" w:rsidRPr="00517640">
              <w:rPr>
                <w:rFonts w:ascii="Arial" w:hAnsi="Arial" w:cs="Arial"/>
                <w:sz w:val="20"/>
                <w:szCs w:val="20"/>
              </w:rPr>
              <w:t>Long-term assets</w:t>
            </w:r>
          </w:p>
        </w:tc>
        <w:tc>
          <w:tcPr>
            <w:tcW w:w="2438" w:type="dxa"/>
            <w:shd w:val="clear" w:color="auto" w:fill="auto"/>
          </w:tcPr>
          <w:p w:rsidR="00E238DF" w:rsidRPr="00517640" w:rsidRDefault="004B3BAB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73.477.038.538</w:t>
            </w:r>
          </w:p>
        </w:tc>
        <w:tc>
          <w:tcPr>
            <w:tcW w:w="2062" w:type="dxa"/>
            <w:shd w:val="clear" w:color="auto" w:fill="auto"/>
          </w:tcPr>
          <w:p w:rsidR="00E238DF" w:rsidRPr="00517640" w:rsidRDefault="004B3BAB" w:rsidP="00031F26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205.078.575.318</w:t>
            </w:r>
          </w:p>
        </w:tc>
        <w:tc>
          <w:tcPr>
            <w:tcW w:w="1726" w:type="dxa"/>
            <w:shd w:val="clear" w:color="auto" w:fill="auto"/>
          </w:tcPr>
          <w:p w:rsidR="00E238DF" w:rsidRPr="00517640" w:rsidRDefault="004B3BAB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179,11%</w:t>
            </w:r>
          </w:p>
        </w:tc>
      </w:tr>
      <w:tr w:rsidR="009134BE" w:rsidRPr="00517640">
        <w:tc>
          <w:tcPr>
            <w:tcW w:w="2448" w:type="dxa"/>
            <w:shd w:val="clear" w:color="auto" w:fill="auto"/>
          </w:tcPr>
          <w:p w:rsidR="00E238DF" w:rsidRPr="00517640" w:rsidRDefault="00D81D3D" w:rsidP="00D81D3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815DF">
              <w:rPr>
                <w:rFonts w:ascii="Arial" w:hAnsi="Arial" w:cs="Arial"/>
                <w:sz w:val="20"/>
                <w:szCs w:val="20"/>
              </w:rPr>
              <w:t>Debt</w:t>
            </w:r>
          </w:p>
        </w:tc>
        <w:tc>
          <w:tcPr>
            <w:tcW w:w="2438" w:type="dxa"/>
            <w:shd w:val="clear" w:color="auto" w:fill="auto"/>
          </w:tcPr>
          <w:p w:rsidR="00E238DF" w:rsidRPr="00517640" w:rsidRDefault="004B3BAB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145.205.057.801</w:t>
            </w:r>
          </w:p>
        </w:tc>
        <w:tc>
          <w:tcPr>
            <w:tcW w:w="2062" w:type="dxa"/>
            <w:shd w:val="clear" w:color="auto" w:fill="auto"/>
          </w:tcPr>
          <w:p w:rsidR="00E238DF" w:rsidRPr="00517640" w:rsidRDefault="004B3BAB" w:rsidP="00031F26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120.389.517.247</w:t>
            </w:r>
          </w:p>
        </w:tc>
        <w:tc>
          <w:tcPr>
            <w:tcW w:w="1726" w:type="dxa"/>
            <w:shd w:val="clear" w:color="auto" w:fill="auto"/>
          </w:tcPr>
          <w:p w:rsidR="00E238DF" w:rsidRPr="00517640" w:rsidRDefault="004B3BAB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-16,88%</w:t>
            </w:r>
          </w:p>
        </w:tc>
      </w:tr>
      <w:tr w:rsidR="009134BE" w:rsidRPr="00517640">
        <w:tc>
          <w:tcPr>
            <w:tcW w:w="2448" w:type="dxa"/>
            <w:shd w:val="clear" w:color="auto" w:fill="auto"/>
          </w:tcPr>
          <w:p w:rsidR="00E238DF" w:rsidRPr="00517640" w:rsidRDefault="00D81D3D" w:rsidP="00D81D3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Owner’s </w:t>
            </w:r>
            <w:r w:rsidR="00E238DF" w:rsidRPr="00517640">
              <w:rPr>
                <w:rFonts w:ascii="Arial" w:hAnsi="Arial" w:cs="Arial"/>
                <w:sz w:val="20"/>
                <w:szCs w:val="20"/>
              </w:rPr>
              <w:t>Equity</w:t>
            </w:r>
          </w:p>
        </w:tc>
        <w:tc>
          <w:tcPr>
            <w:tcW w:w="2438" w:type="dxa"/>
            <w:shd w:val="clear" w:color="auto" w:fill="auto"/>
          </w:tcPr>
          <w:p w:rsidR="00E238DF" w:rsidRPr="00517640" w:rsidRDefault="00E238DF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</w:tcPr>
          <w:p w:rsidR="00E238DF" w:rsidRPr="00517640" w:rsidRDefault="00E238DF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E238DF" w:rsidRPr="00517640" w:rsidRDefault="00E238DF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8DF" w:rsidRPr="00517640" w:rsidRDefault="00E238DF" w:rsidP="004B56B4">
      <w:pPr>
        <w:spacing w:before="60" w:after="60" w:line="276" w:lineRule="auto"/>
        <w:ind w:left="360" w:firstLine="720"/>
        <w:jc w:val="both"/>
        <w:rPr>
          <w:rFonts w:ascii="Arial" w:hAnsi="Arial" w:cs="Arial"/>
          <w:sz w:val="20"/>
          <w:szCs w:val="20"/>
        </w:rPr>
      </w:pPr>
    </w:p>
    <w:p w:rsidR="009D3C55" w:rsidRPr="00517640" w:rsidRDefault="00031F26" w:rsidP="00031F26">
      <w:pPr>
        <w:spacing w:before="60"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Plan in </w:t>
      </w:r>
      <w:r w:rsidR="0065574C" w:rsidRPr="00517640">
        <w:rPr>
          <w:rFonts w:ascii="Arial" w:hAnsi="Arial" w:cs="Arial"/>
          <w:sz w:val="20"/>
          <w:szCs w:val="20"/>
        </w:rPr>
        <w:t>2017</w:t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440"/>
        <w:gridCol w:w="1620"/>
        <w:gridCol w:w="2340"/>
      </w:tblGrid>
      <w:tr w:rsidR="00A32E4E" w:rsidRPr="00031F26">
        <w:tc>
          <w:tcPr>
            <w:tcW w:w="3348" w:type="dxa"/>
            <w:shd w:val="clear" w:color="auto" w:fill="auto"/>
            <w:vAlign w:val="center"/>
          </w:tcPr>
          <w:p w:rsidR="00A32E4E" w:rsidRPr="00031F26" w:rsidRDefault="00A32E4E" w:rsidP="00031F26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F26">
              <w:rPr>
                <w:rFonts w:ascii="Arial" w:hAnsi="Arial" w:cs="Arial"/>
                <w:b/>
                <w:sz w:val="20"/>
                <w:szCs w:val="20"/>
              </w:rPr>
              <w:t>Targets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2E4E" w:rsidRPr="00031F26" w:rsidRDefault="00A32E4E" w:rsidP="00031F2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F2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2E4E" w:rsidRPr="00031F26" w:rsidRDefault="004B56B4" w:rsidP="00031F2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F26">
              <w:rPr>
                <w:rFonts w:ascii="Arial" w:hAnsi="Arial" w:cs="Arial"/>
                <w:b/>
                <w:sz w:val="20"/>
                <w:szCs w:val="20"/>
              </w:rPr>
              <w:t>Plan in</w:t>
            </w:r>
            <w:r w:rsidR="00A32E4E" w:rsidRPr="00031F26">
              <w:rPr>
                <w:rFonts w:ascii="Arial" w:hAnsi="Arial" w:cs="Arial"/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2E4E" w:rsidRPr="00031F26" w:rsidRDefault="004B56B4" w:rsidP="00031F2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F26">
              <w:rPr>
                <w:rFonts w:ascii="Arial" w:hAnsi="Arial" w:cs="Arial"/>
                <w:b/>
                <w:sz w:val="20"/>
                <w:szCs w:val="20"/>
              </w:rPr>
              <w:t>% increase and decrease compared to last year</w:t>
            </w:r>
          </w:p>
        </w:tc>
      </w:tr>
      <w:tr w:rsidR="00A32E4E" w:rsidRPr="00517640">
        <w:tc>
          <w:tcPr>
            <w:tcW w:w="3348" w:type="dxa"/>
            <w:shd w:val="clear" w:color="auto" w:fill="auto"/>
          </w:tcPr>
          <w:p w:rsidR="00A32E4E" w:rsidRPr="00517640" w:rsidRDefault="00A32E4E" w:rsidP="00031F26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Net revenue (</w:t>
            </w:r>
            <w:r w:rsidR="00031F26" w:rsidRPr="00517640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Pr="00517640">
              <w:rPr>
                <w:rFonts w:ascii="Arial" w:hAnsi="Arial" w:cs="Arial"/>
                <w:sz w:val="20"/>
                <w:szCs w:val="20"/>
              </w:rPr>
              <w:t>billion)</w:t>
            </w:r>
          </w:p>
        </w:tc>
        <w:tc>
          <w:tcPr>
            <w:tcW w:w="1440" w:type="dxa"/>
            <w:shd w:val="clear" w:color="auto" w:fill="auto"/>
          </w:tcPr>
          <w:p w:rsidR="00A32E4E" w:rsidRPr="00517640" w:rsidRDefault="00031F26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300,8</w:t>
            </w:r>
          </w:p>
        </w:tc>
        <w:tc>
          <w:tcPr>
            <w:tcW w:w="1620" w:type="dxa"/>
            <w:shd w:val="clear" w:color="auto" w:fill="auto"/>
          </w:tcPr>
          <w:p w:rsidR="00A32E4E" w:rsidRPr="00517640" w:rsidRDefault="00031F26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340" w:type="dxa"/>
            <w:shd w:val="clear" w:color="auto" w:fill="auto"/>
          </w:tcPr>
          <w:p w:rsidR="00A32E4E" w:rsidRPr="00517640" w:rsidRDefault="00031F26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49%</w:t>
            </w:r>
          </w:p>
        </w:tc>
      </w:tr>
      <w:tr w:rsidR="00A32E4E" w:rsidRPr="00517640">
        <w:tc>
          <w:tcPr>
            <w:tcW w:w="3348" w:type="dxa"/>
            <w:shd w:val="clear" w:color="auto" w:fill="auto"/>
          </w:tcPr>
          <w:p w:rsidR="00A32E4E" w:rsidRPr="00517640" w:rsidRDefault="00A32E4E" w:rsidP="00031F26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Profit after tax</w:t>
            </w:r>
            <w:r w:rsidR="00031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F26" w:rsidRPr="00517640">
              <w:rPr>
                <w:rFonts w:ascii="Arial" w:hAnsi="Arial" w:cs="Arial"/>
                <w:sz w:val="20"/>
                <w:szCs w:val="20"/>
              </w:rPr>
              <w:t>(VND billion)</w:t>
            </w:r>
          </w:p>
        </w:tc>
        <w:tc>
          <w:tcPr>
            <w:tcW w:w="1440" w:type="dxa"/>
            <w:shd w:val="clear" w:color="auto" w:fill="auto"/>
          </w:tcPr>
          <w:p w:rsidR="00A32E4E" w:rsidRPr="00517640" w:rsidRDefault="00031F26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620" w:type="dxa"/>
            <w:shd w:val="clear" w:color="auto" w:fill="auto"/>
          </w:tcPr>
          <w:p w:rsidR="00A32E4E" w:rsidRPr="00517640" w:rsidRDefault="00031F26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40" w:type="dxa"/>
            <w:shd w:val="clear" w:color="auto" w:fill="auto"/>
          </w:tcPr>
          <w:p w:rsidR="00A32E4E" w:rsidRPr="00517640" w:rsidRDefault="00031F26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39,5%</w:t>
            </w:r>
          </w:p>
        </w:tc>
      </w:tr>
      <w:tr w:rsidR="00A32E4E" w:rsidRPr="00517640">
        <w:tc>
          <w:tcPr>
            <w:tcW w:w="3348" w:type="dxa"/>
            <w:shd w:val="clear" w:color="auto" w:fill="auto"/>
          </w:tcPr>
          <w:p w:rsidR="00A32E4E" w:rsidRPr="00517640" w:rsidRDefault="00031F26" w:rsidP="00031F26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Earnings per share (VND/ </w:t>
            </w:r>
            <w:r w:rsidR="00A32E4E" w:rsidRPr="00517640">
              <w:rPr>
                <w:rFonts w:ascii="Arial" w:hAnsi="Arial" w:cs="Arial"/>
                <w:sz w:val="20"/>
                <w:szCs w:val="20"/>
              </w:rPr>
              <w:t>share)</w:t>
            </w:r>
          </w:p>
        </w:tc>
        <w:tc>
          <w:tcPr>
            <w:tcW w:w="1440" w:type="dxa"/>
            <w:shd w:val="clear" w:color="auto" w:fill="auto"/>
          </w:tcPr>
          <w:p w:rsidR="00A32E4E" w:rsidRPr="00517640" w:rsidRDefault="00031F26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1.486</w:t>
            </w:r>
          </w:p>
        </w:tc>
        <w:tc>
          <w:tcPr>
            <w:tcW w:w="1620" w:type="dxa"/>
            <w:shd w:val="clear" w:color="auto" w:fill="auto"/>
          </w:tcPr>
          <w:p w:rsidR="00A32E4E" w:rsidRPr="00517640" w:rsidRDefault="00031F26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1.100</w:t>
            </w:r>
          </w:p>
        </w:tc>
        <w:tc>
          <w:tcPr>
            <w:tcW w:w="2340" w:type="dxa"/>
            <w:shd w:val="clear" w:color="auto" w:fill="auto"/>
          </w:tcPr>
          <w:p w:rsidR="00A32E4E" w:rsidRPr="00517640" w:rsidRDefault="00031F26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-26%</w:t>
            </w:r>
          </w:p>
        </w:tc>
      </w:tr>
      <w:tr w:rsidR="00A32E4E" w:rsidRPr="00517640">
        <w:tc>
          <w:tcPr>
            <w:tcW w:w="3348" w:type="dxa"/>
            <w:shd w:val="clear" w:color="auto" w:fill="auto"/>
          </w:tcPr>
          <w:p w:rsidR="00A32E4E" w:rsidRPr="00517640" w:rsidRDefault="00A32E4E" w:rsidP="00031F26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Dividend</w:t>
            </w:r>
          </w:p>
        </w:tc>
        <w:tc>
          <w:tcPr>
            <w:tcW w:w="1440" w:type="dxa"/>
            <w:shd w:val="clear" w:color="auto" w:fill="auto"/>
          </w:tcPr>
          <w:p w:rsidR="00A32E4E" w:rsidRPr="00517640" w:rsidRDefault="00031F26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6.5%</w:t>
            </w:r>
          </w:p>
        </w:tc>
        <w:tc>
          <w:tcPr>
            <w:tcW w:w="1620" w:type="dxa"/>
            <w:shd w:val="clear" w:color="auto" w:fill="auto"/>
          </w:tcPr>
          <w:p w:rsidR="00A32E4E" w:rsidRPr="00517640" w:rsidRDefault="00031F26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340" w:type="dxa"/>
            <w:shd w:val="clear" w:color="auto" w:fill="auto"/>
          </w:tcPr>
          <w:p w:rsidR="00A32E4E" w:rsidRPr="00517640" w:rsidRDefault="00A32E4E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76A2" w:rsidRPr="00517640" w:rsidRDefault="00C476A2" w:rsidP="004B56B4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:rsidR="00C476A2" w:rsidRPr="0091323C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1323C">
        <w:rPr>
          <w:rFonts w:ascii="Arial" w:hAnsi="Arial" w:cs="Arial"/>
          <w:b/>
          <w:sz w:val="20"/>
          <w:szCs w:val="20"/>
          <w:u w:val="single"/>
        </w:rPr>
        <w:t>Article 3</w:t>
      </w:r>
      <w:r w:rsidR="008E58FF" w:rsidRPr="0091323C">
        <w:rPr>
          <w:rFonts w:ascii="Arial" w:hAnsi="Arial" w:cs="Arial"/>
          <w:b/>
          <w:sz w:val="20"/>
          <w:szCs w:val="20"/>
        </w:rPr>
        <w:t>: Approve the operation</w:t>
      </w:r>
      <w:r w:rsidRPr="0091323C">
        <w:rPr>
          <w:rFonts w:ascii="Arial" w:hAnsi="Arial" w:cs="Arial"/>
          <w:b/>
          <w:sz w:val="20"/>
          <w:szCs w:val="20"/>
        </w:rPr>
        <w:t xml:space="preserve"> report of the Board of Supervisors 2016.</w:t>
      </w:r>
    </w:p>
    <w:p w:rsidR="006B1506" w:rsidRPr="00517640" w:rsidRDefault="006B1506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C476A2" w:rsidRPr="0091323C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1323C">
        <w:rPr>
          <w:rFonts w:ascii="Arial" w:hAnsi="Arial" w:cs="Arial"/>
          <w:b/>
          <w:sz w:val="20"/>
          <w:szCs w:val="20"/>
          <w:u w:val="single"/>
        </w:rPr>
        <w:t>Article 4:</w:t>
      </w:r>
      <w:r w:rsidR="008E58FF" w:rsidRPr="0091323C">
        <w:rPr>
          <w:rFonts w:ascii="Arial" w:hAnsi="Arial" w:cs="Arial"/>
          <w:b/>
          <w:sz w:val="20"/>
          <w:szCs w:val="20"/>
        </w:rPr>
        <w:t xml:space="preserve"> Approve the</w:t>
      </w:r>
      <w:r w:rsidRPr="0091323C">
        <w:rPr>
          <w:rFonts w:ascii="Arial" w:hAnsi="Arial" w:cs="Arial"/>
          <w:b/>
          <w:sz w:val="20"/>
          <w:szCs w:val="20"/>
        </w:rPr>
        <w:t xml:space="preserve"> a</w:t>
      </w:r>
      <w:r w:rsidR="001E3A03" w:rsidRPr="0091323C">
        <w:rPr>
          <w:rFonts w:ascii="Arial" w:hAnsi="Arial" w:cs="Arial"/>
          <w:b/>
          <w:sz w:val="20"/>
          <w:szCs w:val="20"/>
        </w:rPr>
        <w:t xml:space="preserve">udited financial statements of </w:t>
      </w:r>
      <w:r w:rsidRPr="0091323C">
        <w:rPr>
          <w:rFonts w:ascii="Arial" w:hAnsi="Arial" w:cs="Arial"/>
          <w:b/>
          <w:sz w:val="20"/>
          <w:szCs w:val="20"/>
        </w:rPr>
        <w:t>2016.</w:t>
      </w:r>
    </w:p>
    <w:p w:rsidR="00C476A2" w:rsidRPr="00517640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The General Meeting of Shareholders discusses and approves the financial statement </w:t>
      </w:r>
      <w:r w:rsidR="006B1506">
        <w:rPr>
          <w:rFonts w:ascii="Arial" w:hAnsi="Arial" w:cs="Arial"/>
          <w:sz w:val="20"/>
          <w:szCs w:val="20"/>
        </w:rPr>
        <w:t xml:space="preserve">2016 </w:t>
      </w:r>
      <w:r w:rsidRPr="00517640">
        <w:rPr>
          <w:rFonts w:ascii="Arial" w:hAnsi="Arial" w:cs="Arial"/>
          <w:sz w:val="20"/>
          <w:szCs w:val="20"/>
        </w:rPr>
        <w:t xml:space="preserve">released </w:t>
      </w:r>
      <w:r w:rsidR="006B1506">
        <w:rPr>
          <w:rFonts w:ascii="Arial" w:hAnsi="Arial" w:cs="Arial"/>
          <w:sz w:val="20"/>
          <w:szCs w:val="20"/>
        </w:rPr>
        <w:t xml:space="preserve">on </w:t>
      </w:r>
      <w:r w:rsidRPr="00517640">
        <w:rPr>
          <w:rFonts w:ascii="Arial" w:hAnsi="Arial" w:cs="Arial"/>
          <w:sz w:val="20"/>
          <w:szCs w:val="20"/>
        </w:rPr>
        <w:t>March 23, 2016 which has been audited by:</w:t>
      </w:r>
    </w:p>
    <w:p w:rsidR="00C476A2" w:rsidRPr="00517640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 Auditing company: TTP Auditing Co., Ltd.</w:t>
      </w:r>
    </w:p>
    <w:p w:rsidR="00C476A2" w:rsidRPr="00517640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- Address: 12th Floor, </w:t>
      </w:r>
      <w:smartTag w:uri="urn:schemas-microsoft-com:office:smarttags" w:element="PlaceName">
        <w:r w:rsidR="006B1506" w:rsidRPr="00517640">
          <w:rPr>
            <w:rFonts w:ascii="Arial" w:hAnsi="Arial" w:cs="Arial"/>
            <w:sz w:val="20"/>
            <w:szCs w:val="20"/>
          </w:rPr>
          <w:t>West</w:t>
        </w:r>
      </w:smartTag>
      <w:r w:rsidR="006B1506" w:rsidRPr="0051764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517640">
          <w:rPr>
            <w:rFonts w:ascii="Arial" w:hAnsi="Arial" w:cs="Arial"/>
            <w:sz w:val="20"/>
            <w:szCs w:val="20"/>
          </w:rPr>
          <w:t>Tower</w:t>
        </w:r>
      </w:smartTag>
      <w:r w:rsidRPr="00517640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Name">
        <w:r w:rsidRPr="00517640">
          <w:rPr>
            <w:rFonts w:ascii="Arial" w:hAnsi="Arial" w:cs="Arial"/>
            <w:sz w:val="20"/>
            <w:szCs w:val="20"/>
          </w:rPr>
          <w:t>Hancorp</w:t>
        </w:r>
      </w:smartTag>
      <w:r w:rsidRPr="0051764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517640">
          <w:rPr>
            <w:rFonts w:ascii="Arial" w:hAnsi="Arial" w:cs="Arial"/>
            <w:sz w:val="20"/>
            <w:szCs w:val="20"/>
          </w:rPr>
          <w:t>Plaza</w:t>
        </w:r>
      </w:smartTag>
      <w:r w:rsidRPr="00517640">
        <w:rPr>
          <w:rFonts w:ascii="Arial" w:hAnsi="Arial" w:cs="Arial"/>
          <w:sz w:val="20"/>
          <w:szCs w:val="20"/>
        </w:rPr>
        <w:t xml:space="preserve">, 72 Tran Dang Ninh, Dich Vong Hau Ward, Cau Giay District, </w:t>
      </w:r>
      <w:smartTag w:uri="urn:schemas-microsoft-com:office:smarttags" w:element="City">
        <w:smartTag w:uri="urn:schemas-microsoft-com:office:smarttags" w:element="place">
          <w:r w:rsidRPr="00517640">
            <w:rPr>
              <w:rFonts w:ascii="Arial" w:hAnsi="Arial" w:cs="Arial"/>
              <w:sz w:val="20"/>
              <w:szCs w:val="20"/>
            </w:rPr>
            <w:t>Hanoi</w:t>
          </w:r>
        </w:smartTag>
      </w:smartTag>
      <w:r w:rsidRPr="00517640">
        <w:rPr>
          <w:rFonts w:ascii="Arial" w:hAnsi="Arial" w:cs="Arial"/>
          <w:sz w:val="20"/>
          <w:szCs w:val="20"/>
        </w:rPr>
        <w:t>.</w:t>
      </w:r>
    </w:p>
    <w:p w:rsidR="00C476A2" w:rsidRPr="00517640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 Phone: (04) 37425888. Fax: (04) 37578666</w:t>
      </w:r>
    </w:p>
    <w:p w:rsidR="006B1506" w:rsidRDefault="006B1506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C476A2" w:rsidRPr="0091323C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1323C">
        <w:rPr>
          <w:rFonts w:ascii="Arial" w:hAnsi="Arial" w:cs="Arial"/>
          <w:b/>
          <w:sz w:val="20"/>
          <w:szCs w:val="20"/>
          <w:u w:val="single"/>
        </w:rPr>
        <w:t xml:space="preserve"> Article 5:</w:t>
      </w:r>
      <w:r w:rsidR="006B1506" w:rsidRPr="0091323C">
        <w:rPr>
          <w:rFonts w:ascii="Arial" w:hAnsi="Arial" w:cs="Arial"/>
          <w:b/>
          <w:sz w:val="20"/>
          <w:szCs w:val="20"/>
        </w:rPr>
        <w:t xml:space="preserve"> Approve</w:t>
      </w:r>
      <w:r w:rsidR="0022429A" w:rsidRPr="0091323C">
        <w:rPr>
          <w:rFonts w:ascii="Arial" w:hAnsi="Arial" w:cs="Arial"/>
          <w:b/>
          <w:sz w:val="20"/>
          <w:szCs w:val="20"/>
        </w:rPr>
        <w:t xml:space="preserve"> </w:t>
      </w:r>
      <w:r w:rsidR="00222378" w:rsidRPr="0091323C">
        <w:rPr>
          <w:rFonts w:ascii="Arial" w:hAnsi="Arial" w:cs="Arial"/>
          <w:b/>
          <w:sz w:val="20"/>
          <w:szCs w:val="20"/>
        </w:rPr>
        <w:t>the selection of auditing company</w:t>
      </w:r>
      <w:r w:rsidRPr="0091323C">
        <w:rPr>
          <w:rFonts w:ascii="Arial" w:hAnsi="Arial" w:cs="Arial"/>
          <w:b/>
          <w:sz w:val="20"/>
          <w:szCs w:val="20"/>
        </w:rPr>
        <w:t>:</w:t>
      </w:r>
    </w:p>
    <w:p w:rsidR="00C476A2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The General </w:t>
      </w:r>
      <w:r w:rsidR="0022429A">
        <w:rPr>
          <w:rFonts w:ascii="Arial" w:hAnsi="Arial" w:cs="Arial"/>
          <w:sz w:val="20"/>
          <w:szCs w:val="20"/>
        </w:rPr>
        <w:t>Meeting</w:t>
      </w:r>
      <w:r w:rsidRPr="00517640">
        <w:rPr>
          <w:rFonts w:ascii="Arial" w:hAnsi="Arial" w:cs="Arial"/>
          <w:sz w:val="20"/>
          <w:szCs w:val="20"/>
        </w:rPr>
        <w:t xml:space="preserve"> of Shareholders discusses and approves the </w:t>
      </w:r>
      <w:r w:rsidR="0022429A">
        <w:rPr>
          <w:rFonts w:ascii="Arial" w:hAnsi="Arial" w:cs="Arial"/>
          <w:sz w:val="20"/>
          <w:szCs w:val="20"/>
        </w:rPr>
        <w:t xml:space="preserve">authorization of </w:t>
      </w:r>
      <w:r w:rsidRPr="00517640">
        <w:rPr>
          <w:rFonts w:ascii="Arial" w:hAnsi="Arial" w:cs="Arial"/>
          <w:sz w:val="20"/>
          <w:szCs w:val="20"/>
        </w:rPr>
        <w:t xml:space="preserve">Board of </w:t>
      </w:r>
      <w:r w:rsidR="0022429A">
        <w:rPr>
          <w:rFonts w:ascii="Arial" w:hAnsi="Arial" w:cs="Arial"/>
          <w:sz w:val="20"/>
          <w:szCs w:val="20"/>
        </w:rPr>
        <w:t xml:space="preserve">Directors to select the auditing company for the financial statements </w:t>
      </w:r>
      <w:r w:rsidRPr="00517640">
        <w:rPr>
          <w:rFonts w:ascii="Arial" w:hAnsi="Arial" w:cs="Arial"/>
          <w:sz w:val="20"/>
          <w:szCs w:val="20"/>
        </w:rPr>
        <w:t>2017.</w:t>
      </w:r>
    </w:p>
    <w:p w:rsidR="0022429A" w:rsidRPr="00517640" w:rsidRDefault="0022429A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C476A2" w:rsidRPr="004D1C22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4D1C22">
        <w:rPr>
          <w:rFonts w:ascii="Arial" w:hAnsi="Arial" w:cs="Arial"/>
          <w:b/>
          <w:sz w:val="20"/>
          <w:szCs w:val="20"/>
          <w:u w:val="single"/>
        </w:rPr>
        <w:t>Article 6:</w:t>
      </w:r>
      <w:r w:rsidRPr="004D1C22">
        <w:rPr>
          <w:rFonts w:ascii="Arial" w:hAnsi="Arial" w:cs="Arial"/>
          <w:b/>
          <w:sz w:val="20"/>
          <w:szCs w:val="20"/>
        </w:rPr>
        <w:t xml:space="preserve"> Change </w:t>
      </w:r>
      <w:r w:rsidR="0022429A" w:rsidRPr="004D1C22">
        <w:rPr>
          <w:rFonts w:ascii="Arial" w:hAnsi="Arial" w:cs="Arial"/>
          <w:b/>
          <w:sz w:val="20"/>
          <w:szCs w:val="20"/>
        </w:rPr>
        <w:t xml:space="preserve">the plan </w:t>
      </w:r>
      <w:r w:rsidRPr="004D1C22">
        <w:rPr>
          <w:rFonts w:ascii="Arial" w:hAnsi="Arial" w:cs="Arial"/>
          <w:b/>
          <w:sz w:val="20"/>
          <w:szCs w:val="20"/>
        </w:rPr>
        <w:t>of dividend payment</w:t>
      </w:r>
      <w:r w:rsidR="0022429A" w:rsidRPr="004D1C22">
        <w:rPr>
          <w:rFonts w:ascii="Arial" w:hAnsi="Arial" w:cs="Arial"/>
          <w:b/>
          <w:sz w:val="20"/>
          <w:szCs w:val="20"/>
        </w:rPr>
        <w:t xml:space="preserve"> </w:t>
      </w:r>
      <w:r w:rsidRPr="004D1C22">
        <w:rPr>
          <w:rFonts w:ascii="Arial" w:hAnsi="Arial" w:cs="Arial"/>
          <w:b/>
          <w:sz w:val="20"/>
          <w:szCs w:val="20"/>
        </w:rPr>
        <w:t>for 2015 and profit distribution for 2016:</w:t>
      </w:r>
    </w:p>
    <w:p w:rsidR="00C476A2" w:rsidRPr="00517640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lastRenderedPageBreak/>
        <w:t>1. Change</w:t>
      </w:r>
      <w:r w:rsidR="009A2698">
        <w:rPr>
          <w:rFonts w:ascii="Arial" w:hAnsi="Arial" w:cs="Arial"/>
          <w:sz w:val="20"/>
          <w:szCs w:val="20"/>
        </w:rPr>
        <w:t xml:space="preserve"> plan of </w:t>
      </w:r>
      <w:r w:rsidRPr="00517640">
        <w:rPr>
          <w:rFonts w:ascii="Arial" w:hAnsi="Arial" w:cs="Arial"/>
          <w:sz w:val="20"/>
          <w:szCs w:val="20"/>
        </w:rPr>
        <w:t xml:space="preserve">dividend payment </w:t>
      </w:r>
      <w:r w:rsidR="009A2698">
        <w:rPr>
          <w:rFonts w:ascii="Arial" w:hAnsi="Arial" w:cs="Arial"/>
          <w:sz w:val="20"/>
          <w:szCs w:val="20"/>
        </w:rPr>
        <w:t>for</w:t>
      </w:r>
      <w:r w:rsidRPr="00517640">
        <w:rPr>
          <w:rFonts w:ascii="Arial" w:hAnsi="Arial" w:cs="Arial"/>
          <w:sz w:val="20"/>
          <w:szCs w:val="20"/>
        </w:rPr>
        <w:t xml:space="preserve"> 2015:</w:t>
      </w:r>
    </w:p>
    <w:p w:rsidR="00C476A2" w:rsidRPr="00517640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 Form of payment: shares.</w:t>
      </w:r>
    </w:p>
    <w:p w:rsidR="00C476A2" w:rsidRPr="00517640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 Perce</w:t>
      </w:r>
      <w:r w:rsidR="008E3D1E">
        <w:rPr>
          <w:rFonts w:ascii="Arial" w:hAnsi="Arial" w:cs="Arial"/>
          <w:sz w:val="20"/>
          <w:szCs w:val="20"/>
        </w:rPr>
        <w:t>ntage: 3,5% (equivalent to 200:</w:t>
      </w:r>
      <w:r w:rsidRPr="00517640">
        <w:rPr>
          <w:rFonts w:ascii="Arial" w:hAnsi="Arial" w:cs="Arial"/>
          <w:sz w:val="20"/>
          <w:szCs w:val="20"/>
        </w:rPr>
        <w:t>7)</w:t>
      </w:r>
      <w:r w:rsidR="008E3D1E">
        <w:rPr>
          <w:rFonts w:ascii="Arial" w:hAnsi="Arial" w:cs="Arial"/>
          <w:sz w:val="20"/>
          <w:szCs w:val="20"/>
        </w:rPr>
        <w:t>. S</w:t>
      </w:r>
      <w:r w:rsidRPr="00517640">
        <w:rPr>
          <w:rFonts w:ascii="Arial" w:hAnsi="Arial" w:cs="Arial"/>
          <w:sz w:val="20"/>
          <w:szCs w:val="20"/>
        </w:rPr>
        <w:t>hareholders who own 200 shares at the time of closing the list will receive 07 dividend shares</w:t>
      </w:r>
      <w:r w:rsidR="008E3D1E">
        <w:rPr>
          <w:rFonts w:ascii="Arial" w:hAnsi="Arial" w:cs="Arial"/>
          <w:sz w:val="20"/>
          <w:szCs w:val="20"/>
        </w:rPr>
        <w:t>.</w:t>
      </w:r>
    </w:p>
    <w:p w:rsidR="00C476A2" w:rsidRPr="00517640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- </w:t>
      </w:r>
      <w:r w:rsidR="008E3D1E">
        <w:rPr>
          <w:rFonts w:ascii="Arial" w:hAnsi="Arial" w:cs="Arial"/>
          <w:sz w:val="20"/>
          <w:szCs w:val="20"/>
        </w:rPr>
        <w:t xml:space="preserve">Method of </w:t>
      </w:r>
      <w:r w:rsidR="00DB0DC3">
        <w:rPr>
          <w:rFonts w:ascii="Arial" w:hAnsi="Arial" w:cs="Arial"/>
          <w:sz w:val="20"/>
          <w:szCs w:val="20"/>
        </w:rPr>
        <w:t>r</w:t>
      </w:r>
      <w:r w:rsidRPr="00517640">
        <w:rPr>
          <w:rFonts w:ascii="Arial" w:hAnsi="Arial" w:cs="Arial"/>
          <w:sz w:val="20"/>
          <w:szCs w:val="20"/>
        </w:rPr>
        <w:t xml:space="preserve">ounding, dealing with odd stocks: The number of additional shares to pay dividends in 2015 by shares </w:t>
      </w:r>
      <w:r w:rsidR="00DB0DC3">
        <w:rPr>
          <w:rFonts w:ascii="Arial" w:hAnsi="Arial" w:cs="Arial"/>
          <w:sz w:val="20"/>
          <w:szCs w:val="20"/>
        </w:rPr>
        <w:t xml:space="preserve">is </w:t>
      </w:r>
      <w:r w:rsidRPr="00517640">
        <w:rPr>
          <w:rFonts w:ascii="Arial" w:hAnsi="Arial" w:cs="Arial"/>
          <w:sz w:val="20"/>
          <w:szCs w:val="20"/>
        </w:rPr>
        <w:t>rounded down to the unit</w:t>
      </w:r>
      <w:r w:rsidR="00DB0DC3">
        <w:rPr>
          <w:rFonts w:ascii="Arial" w:hAnsi="Arial" w:cs="Arial"/>
          <w:sz w:val="20"/>
          <w:szCs w:val="20"/>
        </w:rPr>
        <w:t xml:space="preserve"> position</w:t>
      </w:r>
      <w:r w:rsidRPr="00517640">
        <w:rPr>
          <w:rFonts w:ascii="Arial" w:hAnsi="Arial" w:cs="Arial"/>
          <w:sz w:val="20"/>
          <w:szCs w:val="20"/>
        </w:rPr>
        <w:t>. Odd share</w:t>
      </w:r>
      <w:r w:rsidR="00DB0DC3">
        <w:rPr>
          <w:rFonts w:ascii="Arial" w:hAnsi="Arial" w:cs="Arial"/>
          <w:sz w:val="20"/>
          <w:szCs w:val="20"/>
        </w:rPr>
        <w:t>s</w:t>
      </w:r>
      <w:r w:rsidRPr="00517640">
        <w:rPr>
          <w:rFonts w:ascii="Arial" w:hAnsi="Arial" w:cs="Arial"/>
          <w:sz w:val="20"/>
          <w:szCs w:val="20"/>
        </w:rPr>
        <w:t xml:space="preserve"> arising from rounding (if any) will be canceled.</w:t>
      </w:r>
    </w:p>
    <w:p w:rsidR="00C476A2" w:rsidRPr="00517640" w:rsidRDefault="0091323C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Time: 2</w:t>
      </w:r>
      <w:r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Q</w:t>
      </w:r>
      <w:r w:rsidR="00C476A2" w:rsidRPr="00517640">
        <w:rPr>
          <w:rFonts w:ascii="Arial" w:hAnsi="Arial" w:cs="Arial"/>
          <w:sz w:val="20"/>
          <w:szCs w:val="20"/>
        </w:rPr>
        <w:t>uarter of 2017.</w:t>
      </w:r>
    </w:p>
    <w:p w:rsidR="00C476A2" w:rsidRPr="00517640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The General </w:t>
      </w:r>
      <w:r w:rsidR="00DB0DC3">
        <w:rPr>
          <w:rFonts w:ascii="Arial" w:hAnsi="Arial" w:cs="Arial"/>
          <w:sz w:val="20"/>
          <w:szCs w:val="20"/>
        </w:rPr>
        <w:t>Meeting</w:t>
      </w:r>
      <w:r w:rsidRPr="00517640">
        <w:rPr>
          <w:rFonts w:ascii="Arial" w:hAnsi="Arial" w:cs="Arial"/>
          <w:sz w:val="20"/>
          <w:szCs w:val="20"/>
        </w:rPr>
        <w:t xml:space="preserve"> of Sh</w:t>
      </w:r>
      <w:r w:rsidR="00DB0DC3">
        <w:rPr>
          <w:rFonts w:ascii="Arial" w:hAnsi="Arial" w:cs="Arial"/>
          <w:sz w:val="20"/>
          <w:szCs w:val="20"/>
        </w:rPr>
        <w:t xml:space="preserve">areholders authorizes the Board </w:t>
      </w:r>
      <w:r w:rsidRPr="00517640">
        <w:rPr>
          <w:rFonts w:ascii="Arial" w:hAnsi="Arial" w:cs="Arial"/>
          <w:sz w:val="20"/>
          <w:szCs w:val="20"/>
        </w:rPr>
        <w:t>of Directors to carry out procedures related to paying dividends to shareholders.</w:t>
      </w:r>
    </w:p>
    <w:p w:rsidR="00C476A2" w:rsidRPr="00517640" w:rsidRDefault="00C476A2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2. Profit distribution plan 2016: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040"/>
        <w:gridCol w:w="3240"/>
      </w:tblGrid>
      <w:tr w:rsidR="00C476A2" w:rsidRPr="00DB0DC3">
        <w:tc>
          <w:tcPr>
            <w:tcW w:w="720" w:type="dxa"/>
            <w:shd w:val="clear" w:color="auto" w:fill="auto"/>
          </w:tcPr>
          <w:p w:rsidR="00C476A2" w:rsidRPr="00DB0DC3" w:rsidRDefault="00DB0DC3" w:rsidP="005B11C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DC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40" w:type="dxa"/>
            <w:shd w:val="clear" w:color="auto" w:fill="auto"/>
          </w:tcPr>
          <w:p w:rsidR="00C476A2" w:rsidRPr="00DB0DC3" w:rsidRDefault="00C476A2" w:rsidP="005B11CA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DC3">
              <w:rPr>
                <w:rFonts w:ascii="Arial" w:hAnsi="Arial" w:cs="Arial"/>
                <w:b/>
                <w:sz w:val="20"/>
                <w:szCs w:val="20"/>
              </w:rPr>
              <w:t>Targets</w:t>
            </w:r>
          </w:p>
        </w:tc>
        <w:tc>
          <w:tcPr>
            <w:tcW w:w="3240" w:type="dxa"/>
            <w:shd w:val="clear" w:color="auto" w:fill="auto"/>
          </w:tcPr>
          <w:p w:rsidR="00C476A2" w:rsidRPr="00DB0DC3" w:rsidRDefault="00C476A2" w:rsidP="005B11C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DC3">
              <w:rPr>
                <w:rFonts w:ascii="Arial" w:hAnsi="Arial" w:cs="Arial"/>
                <w:b/>
                <w:sz w:val="20"/>
                <w:szCs w:val="20"/>
              </w:rPr>
              <w:t>2016 (VND)</w:t>
            </w:r>
          </w:p>
        </w:tc>
      </w:tr>
      <w:tr w:rsidR="00C476A2" w:rsidRPr="00517640">
        <w:tc>
          <w:tcPr>
            <w:tcW w:w="720" w:type="dxa"/>
            <w:shd w:val="clear" w:color="auto" w:fill="auto"/>
          </w:tcPr>
          <w:p w:rsidR="00C476A2" w:rsidRPr="00517640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C476A2" w:rsidRPr="005B11CA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Profit before ta</w:t>
            </w:r>
            <w:r w:rsidR="005B11C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40" w:type="dxa"/>
            <w:shd w:val="clear" w:color="auto" w:fill="auto"/>
          </w:tcPr>
          <w:p w:rsidR="00C476A2" w:rsidRPr="00517640" w:rsidRDefault="005B11CA" w:rsidP="005B11CA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37.587.387.720</w:t>
            </w:r>
          </w:p>
        </w:tc>
      </w:tr>
      <w:tr w:rsidR="00C476A2" w:rsidRPr="00517640">
        <w:tc>
          <w:tcPr>
            <w:tcW w:w="720" w:type="dxa"/>
            <w:shd w:val="clear" w:color="auto" w:fill="auto"/>
          </w:tcPr>
          <w:p w:rsidR="00C476A2" w:rsidRPr="00517640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C476A2" w:rsidRPr="00517640" w:rsidRDefault="004D1C2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</w:t>
            </w:r>
            <w:r w:rsidR="00C476A2" w:rsidRPr="00517640">
              <w:rPr>
                <w:rFonts w:ascii="Arial" w:hAnsi="Arial" w:cs="Arial"/>
                <w:sz w:val="20"/>
                <w:szCs w:val="20"/>
              </w:rPr>
              <w:t xml:space="preserve"> Income Tax</w:t>
            </w:r>
          </w:p>
        </w:tc>
        <w:tc>
          <w:tcPr>
            <w:tcW w:w="3240" w:type="dxa"/>
            <w:shd w:val="clear" w:color="auto" w:fill="auto"/>
          </w:tcPr>
          <w:p w:rsidR="00C476A2" w:rsidRPr="00517640" w:rsidRDefault="005B11CA" w:rsidP="005B11CA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7.519.608.596</w:t>
            </w:r>
          </w:p>
        </w:tc>
      </w:tr>
      <w:tr w:rsidR="00C476A2" w:rsidRPr="00517640">
        <w:tc>
          <w:tcPr>
            <w:tcW w:w="720" w:type="dxa"/>
            <w:shd w:val="clear" w:color="auto" w:fill="auto"/>
          </w:tcPr>
          <w:p w:rsidR="00C476A2" w:rsidRPr="00517640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C476A2" w:rsidRPr="00517640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3240" w:type="dxa"/>
            <w:shd w:val="clear" w:color="auto" w:fill="auto"/>
          </w:tcPr>
          <w:p w:rsidR="00C476A2" w:rsidRPr="00517640" w:rsidRDefault="005B11CA" w:rsidP="005B11CA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30.067.779.124</w:t>
            </w:r>
          </w:p>
        </w:tc>
      </w:tr>
      <w:tr w:rsidR="00C476A2" w:rsidRPr="00517640">
        <w:tc>
          <w:tcPr>
            <w:tcW w:w="720" w:type="dxa"/>
            <w:shd w:val="clear" w:color="auto" w:fill="auto"/>
          </w:tcPr>
          <w:p w:rsidR="00C476A2" w:rsidRPr="00517640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a</w:t>
            </w:r>
            <w:r w:rsidR="00DB0D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C476A2" w:rsidRPr="00517640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Bonus fund (5%) + welfare (5%)</w:t>
            </w:r>
          </w:p>
        </w:tc>
        <w:tc>
          <w:tcPr>
            <w:tcW w:w="3240" w:type="dxa"/>
            <w:shd w:val="clear" w:color="auto" w:fill="auto"/>
          </w:tcPr>
          <w:p w:rsidR="00C476A2" w:rsidRPr="00517640" w:rsidRDefault="005B11CA" w:rsidP="005B11CA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3.067.779.124</w:t>
            </w:r>
          </w:p>
        </w:tc>
      </w:tr>
      <w:tr w:rsidR="00C476A2" w:rsidRPr="00517640">
        <w:tc>
          <w:tcPr>
            <w:tcW w:w="720" w:type="dxa"/>
            <w:shd w:val="clear" w:color="auto" w:fill="auto"/>
          </w:tcPr>
          <w:p w:rsidR="00C476A2" w:rsidRPr="00517640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b</w:t>
            </w:r>
            <w:r w:rsidR="00DB0D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C476A2" w:rsidRPr="00517640" w:rsidRDefault="004D1C2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funds </w:t>
            </w:r>
            <w:r w:rsidR="00C476A2" w:rsidRPr="00517640">
              <w:rPr>
                <w:rFonts w:ascii="Arial" w:hAnsi="Arial" w:cs="Arial"/>
                <w:sz w:val="20"/>
                <w:szCs w:val="20"/>
              </w:rPr>
              <w:t>(5%)</w:t>
            </w:r>
          </w:p>
        </w:tc>
        <w:tc>
          <w:tcPr>
            <w:tcW w:w="3240" w:type="dxa"/>
            <w:shd w:val="clear" w:color="auto" w:fill="auto"/>
          </w:tcPr>
          <w:p w:rsidR="00C476A2" w:rsidRPr="00517640" w:rsidRDefault="005B11CA" w:rsidP="005B11CA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1.503.388.956</w:t>
            </w:r>
          </w:p>
        </w:tc>
      </w:tr>
      <w:tr w:rsidR="00C476A2" w:rsidRPr="00517640">
        <w:tc>
          <w:tcPr>
            <w:tcW w:w="720" w:type="dxa"/>
            <w:shd w:val="clear" w:color="auto" w:fill="auto"/>
          </w:tcPr>
          <w:p w:rsidR="00C476A2" w:rsidRPr="00517640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c</w:t>
            </w:r>
            <w:r w:rsidR="00DB0D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C476A2" w:rsidRPr="00517640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Profit to pay dividends in 2016</w:t>
            </w:r>
          </w:p>
        </w:tc>
        <w:tc>
          <w:tcPr>
            <w:tcW w:w="3240" w:type="dxa"/>
            <w:shd w:val="clear" w:color="auto" w:fill="auto"/>
          </w:tcPr>
          <w:p w:rsidR="00C476A2" w:rsidRPr="00517640" w:rsidRDefault="005B11CA" w:rsidP="005B11CA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25.155.000.000</w:t>
            </w:r>
          </w:p>
        </w:tc>
      </w:tr>
      <w:tr w:rsidR="00C476A2" w:rsidRPr="00517640">
        <w:tc>
          <w:tcPr>
            <w:tcW w:w="720" w:type="dxa"/>
            <w:shd w:val="clear" w:color="auto" w:fill="auto"/>
          </w:tcPr>
          <w:p w:rsidR="00C476A2" w:rsidRPr="00517640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d</w:t>
            </w:r>
            <w:r w:rsidR="00DB0D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C476A2" w:rsidRPr="00517640" w:rsidRDefault="00C476A2" w:rsidP="005B11C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 xml:space="preserve">Retained </w:t>
            </w:r>
            <w:r w:rsidR="004D1C22">
              <w:rPr>
                <w:rFonts w:ascii="Arial" w:hAnsi="Arial" w:cs="Arial"/>
                <w:sz w:val="20"/>
                <w:szCs w:val="20"/>
              </w:rPr>
              <w:t>profit</w:t>
            </w:r>
          </w:p>
        </w:tc>
        <w:tc>
          <w:tcPr>
            <w:tcW w:w="3240" w:type="dxa"/>
            <w:shd w:val="clear" w:color="auto" w:fill="auto"/>
          </w:tcPr>
          <w:p w:rsidR="00C476A2" w:rsidRPr="00517640" w:rsidRDefault="005B11CA" w:rsidP="005B11CA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402.612.252</w:t>
            </w:r>
          </w:p>
        </w:tc>
      </w:tr>
    </w:tbl>
    <w:p w:rsidR="002D5763" w:rsidRPr="00517640" w:rsidRDefault="002D5763" w:rsidP="004B56B4">
      <w:pPr>
        <w:spacing w:before="60" w:after="60" w:line="276" w:lineRule="auto"/>
        <w:ind w:left="1080" w:firstLine="720"/>
        <w:jc w:val="both"/>
        <w:rPr>
          <w:rFonts w:ascii="Arial" w:hAnsi="Arial" w:cs="Arial"/>
          <w:sz w:val="20"/>
          <w:szCs w:val="20"/>
        </w:rPr>
      </w:pPr>
    </w:p>
    <w:p w:rsidR="002D5763" w:rsidRPr="00517640" w:rsidRDefault="00F75A2F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of d</w:t>
      </w:r>
      <w:r w:rsidR="002D5763" w:rsidRPr="00517640">
        <w:rPr>
          <w:rFonts w:ascii="Arial" w:hAnsi="Arial" w:cs="Arial"/>
          <w:sz w:val="20"/>
          <w:szCs w:val="20"/>
        </w:rPr>
        <w:t>ividend payment 2016:</w:t>
      </w:r>
    </w:p>
    <w:p w:rsidR="002D5763" w:rsidRPr="00517640" w:rsidRDefault="002D576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 Form of payment: shares</w:t>
      </w:r>
    </w:p>
    <w:p w:rsidR="002D5763" w:rsidRPr="00517640" w:rsidRDefault="002D576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 The rate of 6.5% (equivalent to 200: 13)</w:t>
      </w:r>
      <w:r w:rsidR="00F75A2F">
        <w:rPr>
          <w:rFonts w:ascii="Arial" w:hAnsi="Arial" w:cs="Arial"/>
          <w:sz w:val="20"/>
          <w:szCs w:val="20"/>
        </w:rPr>
        <w:t>:</w:t>
      </w:r>
      <w:r w:rsidR="00A41F82">
        <w:rPr>
          <w:rFonts w:ascii="Arial" w:hAnsi="Arial" w:cs="Arial"/>
          <w:sz w:val="20"/>
          <w:szCs w:val="20"/>
        </w:rPr>
        <w:t xml:space="preserve"> S</w:t>
      </w:r>
      <w:r w:rsidRPr="00517640">
        <w:rPr>
          <w:rFonts w:ascii="Arial" w:hAnsi="Arial" w:cs="Arial"/>
          <w:sz w:val="20"/>
          <w:szCs w:val="20"/>
        </w:rPr>
        <w:t>hareholders who own 200 shares at the time of clo</w:t>
      </w:r>
      <w:r w:rsidR="00A41F82">
        <w:rPr>
          <w:rFonts w:ascii="Arial" w:hAnsi="Arial" w:cs="Arial"/>
          <w:sz w:val="20"/>
          <w:szCs w:val="20"/>
        </w:rPr>
        <w:t xml:space="preserve">sing the list will receive 13 </w:t>
      </w:r>
      <w:r w:rsidR="00A41F82" w:rsidRPr="00517640">
        <w:rPr>
          <w:rFonts w:ascii="Arial" w:hAnsi="Arial" w:cs="Arial"/>
          <w:sz w:val="20"/>
          <w:szCs w:val="20"/>
        </w:rPr>
        <w:t>dividend shares</w:t>
      </w:r>
      <w:r w:rsidR="00A41F82">
        <w:rPr>
          <w:rFonts w:ascii="Arial" w:hAnsi="Arial" w:cs="Arial"/>
          <w:sz w:val="20"/>
          <w:szCs w:val="20"/>
        </w:rPr>
        <w:t xml:space="preserve"> additionally.</w:t>
      </w:r>
    </w:p>
    <w:p w:rsidR="00F02C2D" w:rsidRPr="00517640" w:rsidRDefault="00F02C2D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Method of r</w:t>
      </w:r>
      <w:r w:rsidRPr="00517640">
        <w:rPr>
          <w:rFonts w:ascii="Arial" w:hAnsi="Arial" w:cs="Arial"/>
          <w:sz w:val="20"/>
          <w:szCs w:val="20"/>
        </w:rPr>
        <w:t>ounding, dealing with odd stocks: The number of additional shares to pay dividends in 201</w:t>
      </w:r>
      <w:r>
        <w:rPr>
          <w:rFonts w:ascii="Arial" w:hAnsi="Arial" w:cs="Arial"/>
          <w:sz w:val="20"/>
          <w:szCs w:val="20"/>
        </w:rPr>
        <w:t>6</w:t>
      </w:r>
      <w:r w:rsidRPr="00517640">
        <w:rPr>
          <w:rFonts w:ascii="Arial" w:hAnsi="Arial" w:cs="Arial"/>
          <w:sz w:val="20"/>
          <w:szCs w:val="20"/>
        </w:rPr>
        <w:t xml:space="preserve"> by shares </w:t>
      </w:r>
      <w:r>
        <w:rPr>
          <w:rFonts w:ascii="Arial" w:hAnsi="Arial" w:cs="Arial"/>
          <w:sz w:val="20"/>
          <w:szCs w:val="20"/>
        </w:rPr>
        <w:t xml:space="preserve">is </w:t>
      </w:r>
      <w:r w:rsidRPr="00517640">
        <w:rPr>
          <w:rFonts w:ascii="Arial" w:hAnsi="Arial" w:cs="Arial"/>
          <w:sz w:val="20"/>
          <w:szCs w:val="20"/>
        </w:rPr>
        <w:t>rounded down to the unit</w:t>
      </w:r>
      <w:r>
        <w:rPr>
          <w:rFonts w:ascii="Arial" w:hAnsi="Arial" w:cs="Arial"/>
          <w:sz w:val="20"/>
          <w:szCs w:val="20"/>
        </w:rPr>
        <w:t xml:space="preserve"> position</w:t>
      </w:r>
      <w:r w:rsidRPr="00517640">
        <w:rPr>
          <w:rFonts w:ascii="Arial" w:hAnsi="Arial" w:cs="Arial"/>
          <w:sz w:val="20"/>
          <w:szCs w:val="20"/>
        </w:rPr>
        <w:t>. Odd share</w:t>
      </w:r>
      <w:r>
        <w:rPr>
          <w:rFonts w:ascii="Arial" w:hAnsi="Arial" w:cs="Arial"/>
          <w:sz w:val="20"/>
          <w:szCs w:val="20"/>
        </w:rPr>
        <w:t>s</w:t>
      </w:r>
      <w:r w:rsidRPr="00517640">
        <w:rPr>
          <w:rFonts w:ascii="Arial" w:hAnsi="Arial" w:cs="Arial"/>
          <w:sz w:val="20"/>
          <w:szCs w:val="20"/>
        </w:rPr>
        <w:t xml:space="preserve"> arising from rounding (if any) will be canceled.</w:t>
      </w:r>
    </w:p>
    <w:p w:rsidR="002D5763" w:rsidRPr="00517640" w:rsidRDefault="002D576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- Time: </w:t>
      </w:r>
      <w:r w:rsidR="00F02C2D">
        <w:rPr>
          <w:rFonts w:ascii="Arial" w:hAnsi="Arial" w:cs="Arial"/>
          <w:sz w:val="20"/>
          <w:szCs w:val="20"/>
        </w:rPr>
        <w:t>2</w:t>
      </w:r>
      <w:r w:rsidR="00F02C2D">
        <w:rPr>
          <w:rFonts w:ascii="Arial" w:hAnsi="Arial" w:cs="Arial"/>
          <w:sz w:val="20"/>
          <w:szCs w:val="20"/>
          <w:vertAlign w:val="superscript"/>
        </w:rPr>
        <w:t>nd</w:t>
      </w:r>
      <w:r w:rsidR="00F02C2D">
        <w:rPr>
          <w:rFonts w:ascii="Arial" w:hAnsi="Arial" w:cs="Arial"/>
          <w:sz w:val="20"/>
          <w:szCs w:val="20"/>
        </w:rPr>
        <w:t xml:space="preserve"> or 3</w:t>
      </w:r>
      <w:r w:rsidR="00F02C2D">
        <w:rPr>
          <w:rFonts w:ascii="Arial" w:hAnsi="Arial" w:cs="Arial"/>
          <w:sz w:val="20"/>
          <w:szCs w:val="20"/>
          <w:vertAlign w:val="superscript"/>
        </w:rPr>
        <w:t>rd</w:t>
      </w:r>
      <w:r w:rsidR="00F02C2D">
        <w:rPr>
          <w:rFonts w:ascii="Arial" w:hAnsi="Arial" w:cs="Arial"/>
          <w:sz w:val="20"/>
          <w:szCs w:val="20"/>
        </w:rPr>
        <w:t xml:space="preserve"> </w:t>
      </w:r>
      <w:r w:rsidRPr="00517640">
        <w:rPr>
          <w:rFonts w:ascii="Arial" w:hAnsi="Arial" w:cs="Arial"/>
          <w:sz w:val="20"/>
          <w:szCs w:val="20"/>
        </w:rPr>
        <w:t>Quarter</w:t>
      </w:r>
      <w:r w:rsidR="00F02C2D">
        <w:rPr>
          <w:rFonts w:ascii="Arial" w:hAnsi="Arial" w:cs="Arial"/>
          <w:sz w:val="20"/>
          <w:szCs w:val="20"/>
        </w:rPr>
        <w:t xml:space="preserve"> </w:t>
      </w:r>
      <w:r w:rsidRPr="00517640">
        <w:rPr>
          <w:rFonts w:ascii="Arial" w:hAnsi="Arial" w:cs="Arial"/>
          <w:sz w:val="20"/>
          <w:szCs w:val="20"/>
        </w:rPr>
        <w:t>2017.</w:t>
      </w:r>
    </w:p>
    <w:p w:rsidR="002D5763" w:rsidRDefault="00F02C2D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D5763" w:rsidRPr="00517640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Meeting</w:t>
      </w:r>
      <w:r w:rsidR="002D5763" w:rsidRPr="00517640">
        <w:rPr>
          <w:rFonts w:ascii="Arial" w:hAnsi="Arial" w:cs="Arial"/>
          <w:sz w:val="20"/>
          <w:szCs w:val="20"/>
        </w:rPr>
        <w:t xml:space="preserve"> of Shareholders authorizes the Board of Directors to carry out procedures related to paying dividends to shareholders.</w:t>
      </w:r>
    </w:p>
    <w:p w:rsidR="002A5006" w:rsidRPr="00517640" w:rsidRDefault="002A5006" w:rsidP="00EF6299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D5763" w:rsidRPr="00517640" w:rsidRDefault="002D576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A5006">
        <w:rPr>
          <w:rFonts w:ascii="Arial" w:hAnsi="Arial" w:cs="Arial"/>
          <w:b/>
          <w:sz w:val="20"/>
          <w:szCs w:val="20"/>
          <w:u w:val="single"/>
        </w:rPr>
        <w:t>Article 8:</w:t>
      </w:r>
      <w:r w:rsidR="002A5006">
        <w:rPr>
          <w:rFonts w:ascii="Arial" w:hAnsi="Arial" w:cs="Arial"/>
          <w:sz w:val="20"/>
          <w:szCs w:val="20"/>
        </w:rPr>
        <w:t xml:space="preserve"> Approve </w:t>
      </w:r>
      <w:r w:rsidRPr="00517640">
        <w:rPr>
          <w:rFonts w:ascii="Arial" w:hAnsi="Arial" w:cs="Arial"/>
          <w:sz w:val="20"/>
          <w:szCs w:val="20"/>
        </w:rPr>
        <w:t>the remuneration of</w:t>
      </w:r>
      <w:r w:rsidR="002A5006">
        <w:rPr>
          <w:rFonts w:ascii="Arial" w:hAnsi="Arial" w:cs="Arial"/>
          <w:sz w:val="20"/>
          <w:szCs w:val="20"/>
        </w:rPr>
        <w:t xml:space="preserve"> Board of Directors and </w:t>
      </w:r>
      <w:r w:rsidRPr="00517640">
        <w:rPr>
          <w:rFonts w:ascii="Arial" w:hAnsi="Arial" w:cs="Arial"/>
          <w:sz w:val="20"/>
          <w:szCs w:val="20"/>
        </w:rPr>
        <w:t>Board of Supervisors 2016</w:t>
      </w:r>
    </w:p>
    <w:p w:rsidR="002D5763" w:rsidRPr="00517640" w:rsidRDefault="002D576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The General Meeting of Shareholders discusses and approves the remuneration of the Board </w:t>
      </w:r>
      <w:r w:rsidR="002A5006">
        <w:rPr>
          <w:rFonts w:ascii="Arial" w:hAnsi="Arial" w:cs="Arial"/>
          <w:sz w:val="20"/>
          <w:szCs w:val="20"/>
        </w:rPr>
        <w:t xml:space="preserve">of Directors and </w:t>
      </w:r>
      <w:r w:rsidR="002A5006" w:rsidRPr="00517640">
        <w:rPr>
          <w:rFonts w:ascii="Arial" w:hAnsi="Arial" w:cs="Arial"/>
          <w:sz w:val="20"/>
          <w:szCs w:val="20"/>
        </w:rPr>
        <w:t xml:space="preserve">Board of Supervisors </w:t>
      </w:r>
      <w:r w:rsidRPr="00517640">
        <w:rPr>
          <w:rFonts w:ascii="Arial" w:hAnsi="Arial" w:cs="Arial"/>
          <w:sz w:val="20"/>
          <w:szCs w:val="20"/>
        </w:rPr>
        <w:t>for 2016:</w:t>
      </w:r>
    </w:p>
    <w:p w:rsidR="002D5763" w:rsidRPr="00517640" w:rsidRDefault="002D576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- Chairman of the </w:t>
      </w:r>
      <w:r w:rsidR="002A5006">
        <w:rPr>
          <w:rFonts w:ascii="Arial" w:hAnsi="Arial" w:cs="Arial"/>
          <w:sz w:val="20"/>
          <w:szCs w:val="20"/>
        </w:rPr>
        <w:t>Board of Directors</w:t>
      </w:r>
      <w:r w:rsidRPr="00517640">
        <w:rPr>
          <w:rFonts w:ascii="Arial" w:hAnsi="Arial" w:cs="Arial"/>
          <w:sz w:val="20"/>
          <w:szCs w:val="20"/>
        </w:rPr>
        <w:t xml:space="preserve">: </w:t>
      </w:r>
      <w:r w:rsidR="002A5006">
        <w:rPr>
          <w:rFonts w:ascii="Arial" w:hAnsi="Arial" w:cs="Arial"/>
          <w:sz w:val="20"/>
          <w:szCs w:val="20"/>
        </w:rPr>
        <w:t>VND 2,500,000/person/</w:t>
      </w:r>
      <w:r w:rsidRPr="00517640">
        <w:rPr>
          <w:rFonts w:ascii="Arial" w:hAnsi="Arial" w:cs="Arial"/>
          <w:sz w:val="20"/>
          <w:szCs w:val="20"/>
        </w:rPr>
        <w:t>month.</w:t>
      </w:r>
    </w:p>
    <w:p w:rsidR="002D5763" w:rsidRPr="00517640" w:rsidRDefault="002D576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 Members of the Board of Di</w:t>
      </w:r>
      <w:r w:rsidR="002A5006">
        <w:rPr>
          <w:rFonts w:ascii="Arial" w:hAnsi="Arial" w:cs="Arial"/>
          <w:sz w:val="20"/>
          <w:szCs w:val="20"/>
        </w:rPr>
        <w:t>rectors: VND 2,000,000/person/</w:t>
      </w:r>
      <w:r w:rsidRPr="00517640">
        <w:rPr>
          <w:rFonts w:ascii="Arial" w:hAnsi="Arial" w:cs="Arial"/>
          <w:sz w:val="20"/>
          <w:szCs w:val="20"/>
        </w:rPr>
        <w:t>month.</w:t>
      </w:r>
    </w:p>
    <w:p w:rsidR="002D5763" w:rsidRPr="00517640" w:rsidRDefault="0012243A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Head of </w:t>
      </w:r>
      <w:r w:rsidRPr="00517640">
        <w:rPr>
          <w:rFonts w:ascii="Arial" w:hAnsi="Arial" w:cs="Arial"/>
          <w:sz w:val="20"/>
          <w:szCs w:val="20"/>
        </w:rPr>
        <w:t>Board</w:t>
      </w:r>
      <w:r>
        <w:rPr>
          <w:rFonts w:ascii="Arial" w:hAnsi="Arial" w:cs="Arial"/>
          <w:sz w:val="20"/>
          <w:szCs w:val="20"/>
        </w:rPr>
        <w:t xml:space="preserve"> of Supervisors</w:t>
      </w:r>
      <w:r w:rsidR="002A5006">
        <w:rPr>
          <w:rFonts w:ascii="Arial" w:hAnsi="Arial" w:cs="Arial"/>
          <w:sz w:val="20"/>
          <w:szCs w:val="20"/>
        </w:rPr>
        <w:t>: VND 1,700,000/person/</w:t>
      </w:r>
      <w:r w:rsidR="002D5763" w:rsidRPr="00517640">
        <w:rPr>
          <w:rFonts w:ascii="Arial" w:hAnsi="Arial" w:cs="Arial"/>
          <w:sz w:val="20"/>
          <w:szCs w:val="20"/>
        </w:rPr>
        <w:t>month.</w:t>
      </w:r>
    </w:p>
    <w:p w:rsidR="002D5763" w:rsidRPr="00517640" w:rsidRDefault="002A5006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Members of </w:t>
      </w:r>
      <w:r w:rsidR="002D5763" w:rsidRPr="00517640">
        <w:rPr>
          <w:rFonts w:ascii="Arial" w:hAnsi="Arial" w:cs="Arial"/>
          <w:sz w:val="20"/>
          <w:szCs w:val="20"/>
        </w:rPr>
        <w:t>Board</w:t>
      </w:r>
      <w:r>
        <w:rPr>
          <w:rFonts w:ascii="Arial" w:hAnsi="Arial" w:cs="Arial"/>
          <w:sz w:val="20"/>
          <w:szCs w:val="20"/>
        </w:rPr>
        <w:t xml:space="preserve"> of Supervisors</w:t>
      </w:r>
      <w:r w:rsidR="002D5763" w:rsidRPr="00517640">
        <w:rPr>
          <w:rFonts w:ascii="Arial" w:hAnsi="Arial" w:cs="Arial"/>
          <w:sz w:val="20"/>
          <w:szCs w:val="20"/>
        </w:rPr>
        <w:t xml:space="preserve">: </w:t>
      </w:r>
      <w:r w:rsidR="0012243A">
        <w:rPr>
          <w:rFonts w:ascii="Arial" w:hAnsi="Arial" w:cs="Arial"/>
          <w:sz w:val="20"/>
          <w:szCs w:val="20"/>
        </w:rPr>
        <w:t xml:space="preserve">VND </w:t>
      </w:r>
      <w:r w:rsidR="002D5763" w:rsidRPr="00517640">
        <w:rPr>
          <w:rFonts w:ascii="Arial" w:hAnsi="Arial" w:cs="Arial"/>
          <w:sz w:val="20"/>
          <w:szCs w:val="20"/>
        </w:rPr>
        <w:t>1,500,000</w:t>
      </w:r>
      <w:r w:rsidR="0012243A">
        <w:rPr>
          <w:rFonts w:ascii="Arial" w:hAnsi="Arial" w:cs="Arial"/>
          <w:sz w:val="20"/>
          <w:szCs w:val="20"/>
        </w:rPr>
        <w:t>/person/</w:t>
      </w:r>
      <w:r w:rsidR="002D5763" w:rsidRPr="00517640">
        <w:rPr>
          <w:rFonts w:ascii="Arial" w:hAnsi="Arial" w:cs="Arial"/>
          <w:sz w:val="20"/>
          <w:szCs w:val="20"/>
        </w:rPr>
        <w:t>month.</w:t>
      </w:r>
    </w:p>
    <w:p w:rsidR="002D5763" w:rsidRPr="00517640" w:rsidRDefault="002D5763" w:rsidP="00EF6299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D5763" w:rsidRPr="00517640" w:rsidRDefault="002D576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A</w:t>
      </w:r>
      <w:r w:rsidR="00025C0E">
        <w:rPr>
          <w:rFonts w:ascii="Arial" w:hAnsi="Arial" w:cs="Arial"/>
          <w:sz w:val="20"/>
          <w:szCs w:val="20"/>
        </w:rPr>
        <w:t>nd expect</w:t>
      </w:r>
      <w:r w:rsidRPr="00517640">
        <w:rPr>
          <w:rFonts w:ascii="Arial" w:hAnsi="Arial" w:cs="Arial"/>
          <w:sz w:val="20"/>
          <w:szCs w:val="20"/>
        </w:rPr>
        <w:t xml:space="preserve"> remuneration for the Board of Dir</w:t>
      </w:r>
      <w:r w:rsidR="00025C0E">
        <w:rPr>
          <w:rFonts w:ascii="Arial" w:hAnsi="Arial" w:cs="Arial"/>
          <w:sz w:val="20"/>
          <w:szCs w:val="20"/>
        </w:rPr>
        <w:t xml:space="preserve">ectors and Supervisory Board </w:t>
      </w:r>
      <w:r w:rsidRPr="00517640">
        <w:rPr>
          <w:rFonts w:ascii="Arial" w:hAnsi="Arial" w:cs="Arial"/>
          <w:sz w:val="20"/>
          <w:szCs w:val="20"/>
        </w:rPr>
        <w:t>2017 as follows:</w:t>
      </w:r>
    </w:p>
    <w:p w:rsidR="002D5763" w:rsidRPr="00517640" w:rsidRDefault="00025C0E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- Chairman of the </w:t>
      </w:r>
      <w:r>
        <w:rPr>
          <w:rFonts w:ascii="Arial" w:hAnsi="Arial" w:cs="Arial"/>
          <w:sz w:val="20"/>
          <w:szCs w:val="20"/>
        </w:rPr>
        <w:t>Board of Directors</w:t>
      </w:r>
      <w:r w:rsidR="002D5763" w:rsidRPr="0051764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VND </w:t>
      </w:r>
      <w:r w:rsidR="002D5763" w:rsidRPr="00517640">
        <w:rPr>
          <w:rFonts w:ascii="Arial" w:hAnsi="Arial" w:cs="Arial"/>
          <w:sz w:val="20"/>
          <w:szCs w:val="20"/>
        </w:rPr>
        <w:t>10,000,000</w:t>
      </w:r>
      <w:r>
        <w:rPr>
          <w:rFonts w:ascii="Arial" w:hAnsi="Arial" w:cs="Arial"/>
          <w:sz w:val="20"/>
          <w:szCs w:val="20"/>
        </w:rPr>
        <w:t>/person/</w:t>
      </w:r>
      <w:r w:rsidR="002D5763" w:rsidRPr="00517640">
        <w:rPr>
          <w:rFonts w:ascii="Arial" w:hAnsi="Arial" w:cs="Arial"/>
          <w:sz w:val="20"/>
          <w:szCs w:val="20"/>
        </w:rPr>
        <w:t>month.</w:t>
      </w:r>
    </w:p>
    <w:p w:rsidR="002D5763" w:rsidRPr="00517640" w:rsidRDefault="002D576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 Members of the Board of Dire</w:t>
      </w:r>
      <w:r w:rsidR="00025C0E">
        <w:rPr>
          <w:rFonts w:ascii="Arial" w:hAnsi="Arial" w:cs="Arial"/>
          <w:sz w:val="20"/>
          <w:szCs w:val="20"/>
        </w:rPr>
        <w:t>ctors: VND 8,000,000/person/</w:t>
      </w:r>
      <w:r w:rsidRPr="00517640">
        <w:rPr>
          <w:rFonts w:ascii="Arial" w:hAnsi="Arial" w:cs="Arial"/>
          <w:sz w:val="20"/>
          <w:szCs w:val="20"/>
        </w:rPr>
        <w:t>month.</w:t>
      </w:r>
    </w:p>
    <w:p w:rsidR="002D5763" w:rsidRPr="00517640" w:rsidRDefault="00025C0E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Head of </w:t>
      </w:r>
      <w:r w:rsidRPr="00517640">
        <w:rPr>
          <w:rFonts w:ascii="Arial" w:hAnsi="Arial" w:cs="Arial"/>
          <w:sz w:val="20"/>
          <w:szCs w:val="20"/>
        </w:rPr>
        <w:t>Board</w:t>
      </w:r>
      <w:r>
        <w:rPr>
          <w:rFonts w:ascii="Arial" w:hAnsi="Arial" w:cs="Arial"/>
          <w:sz w:val="20"/>
          <w:szCs w:val="20"/>
        </w:rPr>
        <w:t xml:space="preserve"> of Supervisors</w:t>
      </w:r>
      <w:r w:rsidR="002D5763" w:rsidRPr="0051764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VND </w:t>
      </w:r>
      <w:r w:rsidR="002D5763" w:rsidRPr="00517640">
        <w:rPr>
          <w:rFonts w:ascii="Arial" w:hAnsi="Arial" w:cs="Arial"/>
          <w:sz w:val="20"/>
          <w:szCs w:val="20"/>
        </w:rPr>
        <w:t>7.700.000</w:t>
      </w:r>
      <w:r>
        <w:rPr>
          <w:rFonts w:ascii="Arial" w:hAnsi="Arial" w:cs="Arial"/>
          <w:sz w:val="20"/>
          <w:szCs w:val="20"/>
        </w:rPr>
        <w:t>/person/</w:t>
      </w:r>
      <w:r w:rsidR="002D5763" w:rsidRPr="00517640">
        <w:rPr>
          <w:rFonts w:ascii="Arial" w:hAnsi="Arial" w:cs="Arial"/>
          <w:sz w:val="20"/>
          <w:szCs w:val="20"/>
        </w:rPr>
        <w:t>month.</w:t>
      </w:r>
    </w:p>
    <w:p w:rsidR="002D5763" w:rsidRPr="00517640" w:rsidRDefault="00025C0E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Members of </w:t>
      </w:r>
      <w:r w:rsidRPr="00517640">
        <w:rPr>
          <w:rFonts w:ascii="Arial" w:hAnsi="Arial" w:cs="Arial"/>
          <w:sz w:val="20"/>
          <w:szCs w:val="20"/>
        </w:rPr>
        <w:t>Board</w:t>
      </w:r>
      <w:r>
        <w:rPr>
          <w:rFonts w:ascii="Arial" w:hAnsi="Arial" w:cs="Arial"/>
          <w:sz w:val="20"/>
          <w:szCs w:val="20"/>
        </w:rPr>
        <w:t xml:space="preserve"> of Supervisors</w:t>
      </w:r>
      <w:r w:rsidR="002D5763" w:rsidRPr="0051764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VND </w:t>
      </w:r>
      <w:r w:rsidR="002D5763" w:rsidRPr="00517640">
        <w:rPr>
          <w:rFonts w:ascii="Arial" w:hAnsi="Arial" w:cs="Arial"/>
          <w:sz w:val="20"/>
          <w:szCs w:val="20"/>
        </w:rPr>
        <w:t>6,500,000</w:t>
      </w:r>
      <w:r>
        <w:rPr>
          <w:rFonts w:ascii="Arial" w:hAnsi="Arial" w:cs="Arial"/>
          <w:sz w:val="20"/>
          <w:szCs w:val="20"/>
        </w:rPr>
        <w:t>/person/</w:t>
      </w:r>
      <w:r w:rsidR="002D5763" w:rsidRPr="00517640">
        <w:rPr>
          <w:rFonts w:ascii="Arial" w:hAnsi="Arial" w:cs="Arial"/>
          <w:sz w:val="20"/>
          <w:szCs w:val="20"/>
        </w:rPr>
        <w:t>month.</w:t>
      </w:r>
    </w:p>
    <w:p w:rsidR="002D5763" w:rsidRPr="00517640" w:rsidRDefault="002D5763" w:rsidP="004B56B4">
      <w:pPr>
        <w:spacing w:before="60" w:after="60" w:line="276" w:lineRule="auto"/>
        <w:ind w:left="1080" w:firstLine="720"/>
        <w:jc w:val="both"/>
        <w:rPr>
          <w:rFonts w:ascii="Arial" w:hAnsi="Arial" w:cs="Arial"/>
          <w:sz w:val="20"/>
          <w:szCs w:val="20"/>
        </w:rPr>
      </w:pPr>
    </w:p>
    <w:p w:rsidR="00777EB7" w:rsidRDefault="002D576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65C3E">
        <w:rPr>
          <w:rFonts w:ascii="Arial" w:hAnsi="Arial" w:cs="Arial"/>
          <w:b/>
          <w:sz w:val="20"/>
          <w:szCs w:val="20"/>
          <w:u w:val="single"/>
        </w:rPr>
        <w:t>Article 9:</w:t>
      </w:r>
      <w:r w:rsidR="00166875">
        <w:rPr>
          <w:rFonts w:ascii="Arial" w:hAnsi="Arial" w:cs="Arial"/>
          <w:sz w:val="20"/>
          <w:szCs w:val="20"/>
        </w:rPr>
        <w:t xml:space="preserve"> Change </w:t>
      </w:r>
      <w:r w:rsidRPr="00517640">
        <w:rPr>
          <w:rFonts w:ascii="Arial" w:hAnsi="Arial" w:cs="Arial"/>
          <w:sz w:val="20"/>
          <w:szCs w:val="20"/>
        </w:rPr>
        <w:t>the</w:t>
      </w:r>
      <w:r w:rsidR="00166875">
        <w:rPr>
          <w:rFonts w:ascii="Arial" w:hAnsi="Arial" w:cs="Arial"/>
          <w:sz w:val="20"/>
          <w:szCs w:val="20"/>
        </w:rPr>
        <w:t xml:space="preserve"> plan of using</w:t>
      </w:r>
      <w:r w:rsidRPr="00517640">
        <w:rPr>
          <w:rFonts w:ascii="Arial" w:hAnsi="Arial" w:cs="Arial"/>
          <w:sz w:val="20"/>
          <w:szCs w:val="20"/>
        </w:rPr>
        <w:t xml:space="preserve"> capital</w:t>
      </w:r>
      <w:r w:rsidR="00166875">
        <w:rPr>
          <w:rFonts w:ascii="Arial" w:hAnsi="Arial" w:cs="Arial"/>
          <w:sz w:val="20"/>
          <w:szCs w:val="20"/>
        </w:rPr>
        <w:t xml:space="preserve"> of the share issuance; </w:t>
      </w:r>
      <w:r w:rsidRPr="00517640">
        <w:rPr>
          <w:rFonts w:ascii="Arial" w:hAnsi="Arial" w:cs="Arial"/>
          <w:sz w:val="20"/>
          <w:szCs w:val="20"/>
        </w:rPr>
        <w:t>increase the charter</w:t>
      </w:r>
      <w:r w:rsidR="00166875">
        <w:rPr>
          <w:rFonts w:ascii="Arial" w:hAnsi="Arial" w:cs="Arial"/>
          <w:sz w:val="20"/>
          <w:szCs w:val="20"/>
        </w:rPr>
        <w:t>ed capital from VND193,</w:t>
      </w:r>
      <w:r w:rsidRPr="00517640">
        <w:rPr>
          <w:rFonts w:ascii="Arial" w:hAnsi="Arial" w:cs="Arial"/>
          <w:sz w:val="20"/>
          <w:szCs w:val="20"/>
        </w:rPr>
        <w:t>5 billion to VND</w:t>
      </w:r>
      <w:r w:rsidR="00166875">
        <w:rPr>
          <w:rFonts w:ascii="Arial" w:hAnsi="Arial" w:cs="Arial"/>
          <w:sz w:val="20"/>
          <w:szCs w:val="20"/>
        </w:rPr>
        <w:t xml:space="preserve"> </w:t>
      </w:r>
      <w:r w:rsidRPr="00517640">
        <w:rPr>
          <w:rFonts w:ascii="Arial" w:hAnsi="Arial" w:cs="Arial"/>
          <w:sz w:val="20"/>
          <w:szCs w:val="20"/>
        </w:rPr>
        <w:t>387 billion</w:t>
      </w:r>
    </w:p>
    <w:p w:rsidR="00777EB7" w:rsidRPr="00517640" w:rsidRDefault="002D576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The General </w:t>
      </w:r>
      <w:r w:rsidR="00777EB7">
        <w:rPr>
          <w:rFonts w:ascii="Arial" w:hAnsi="Arial" w:cs="Arial"/>
          <w:sz w:val="20"/>
          <w:szCs w:val="20"/>
        </w:rPr>
        <w:t>Meeting of Shareholders approves</w:t>
      </w:r>
      <w:r w:rsidRPr="00517640">
        <w:rPr>
          <w:rFonts w:ascii="Arial" w:hAnsi="Arial" w:cs="Arial"/>
          <w:sz w:val="20"/>
          <w:szCs w:val="20"/>
        </w:rPr>
        <w:t xml:space="preserve"> the change of capital </w:t>
      </w:r>
      <w:r w:rsidR="00777EB7">
        <w:rPr>
          <w:rFonts w:ascii="Arial" w:hAnsi="Arial" w:cs="Arial"/>
          <w:sz w:val="20"/>
          <w:szCs w:val="20"/>
        </w:rPr>
        <w:t>using</w:t>
      </w:r>
      <w:r w:rsidRPr="00517640">
        <w:rPr>
          <w:rFonts w:ascii="Arial" w:hAnsi="Arial" w:cs="Arial"/>
          <w:sz w:val="20"/>
          <w:szCs w:val="20"/>
        </w:rPr>
        <w:t xml:space="preserve"> plan </w:t>
      </w:r>
      <w:r w:rsidR="00777EB7">
        <w:rPr>
          <w:rFonts w:ascii="Arial" w:hAnsi="Arial" w:cs="Arial"/>
          <w:sz w:val="20"/>
          <w:szCs w:val="20"/>
        </w:rPr>
        <w:t xml:space="preserve">of the share issuance; </w:t>
      </w:r>
      <w:r w:rsidR="00777EB7" w:rsidRPr="00517640">
        <w:rPr>
          <w:rFonts w:ascii="Arial" w:hAnsi="Arial" w:cs="Arial"/>
          <w:sz w:val="20"/>
          <w:szCs w:val="20"/>
        </w:rPr>
        <w:t>increase the charter</w:t>
      </w:r>
      <w:r w:rsidR="00777EB7">
        <w:rPr>
          <w:rFonts w:ascii="Arial" w:hAnsi="Arial" w:cs="Arial"/>
          <w:sz w:val="20"/>
          <w:szCs w:val="20"/>
        </w:rPr>
        <w:t>ed capital from VND193,</w:t>
      </w:r>
      <w:r w:rsidR="00777EB7" w:rsidRPr="00517640">
        <w:rPr>
          <w:rFonts w:ascii="Arial" w:hAnsi="Arial" w:cs="Arial"/>
          <w:sz w:val="20"/>
          <w:szCs w:val="20"/>
        </w:rPr>
        <w:t>5 billion to VND</w:t>
      </w:r>
      <w:r w:rsidR="00777EB7">
        <w:rPr>
          <w:rFonts w:ascii="Arial" w:hAnsi="Arial" w:cs="Arial"/>
          <w:sz w:val="20"/>
          <w:szCs w:val="20"/>
        </w:rPr>
        <w:t xml:space="preserve"> </w:t>
      </w:r>
      <w:r w:rsidR="00777EB7" w:rsidRPr="00517640">
        <w:rPr>
          <w:rFonts w:ascii="Arial" w:hAnsi="Arial" w:cs="Arial"/>
          <w:sz w:val="20"/>
          <w:szCs w:val="20"/>
        </w:rPr>
        <w:t>387 billion</w:t>
      </w:r>
      <w:r w:rsidR="00777EB7">
        <w:rPr>
          <w:rFonts w:ascii="Arial" w:hAnsi="Arial" w:cs="Arial"/>
          <w:sz w:val="20"/>
          <w:szCs w:val="20"/>
        </w:rPr>
        <w:t>.</w:t>
      </w:r>
    </w:p>
    <w:p w:rsidR="00EF6299" w:rsidRPr="00517640" w:rsidRDefault="00EF6299" w:rsidP="00EF6299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00"/>
        <w:gridCol w:w="1620"/>
        <w:gridCol w:w="2520"/>
      </w:tblGrid>
      <w:tr w:rsidR="00F75A2F" w:rsidRPr="00777EB7">
        <w:tc>
          <w:tcPr>
            <w:tcW w:w="540" w:type="dxa"/>
            <w:shd w:val="clear" w:color="auto" w:fill="auto"/>
            <w:vAlign w:val="center"/>
          </w:tcPr>
          <w:p w:rsidR="00F75A2F" w:rsidRPr="00777EB7" w:rsidRDefault="00F75A2F" w:rsidP="00DD4BC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EB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F75A2F" w:rsidRPr="00777EB7" w:rsidRDefault="00F75A2F" w:rsidP="00DD4BC7">
            <w:pPr>
              <w:spacing w:before="60" w:after="60" w:line="276" w:lineRule="auto"/>
              <w:ind w:firstLine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EB7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5A2F" w:rsidRPr="00777EB7" w:rsidRDefault="00F75A2F" w:rsidP="00DD4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EB7">
              <w:rPr>
                <w:rFonts w:ascii="Arial" w:hAnsi="Arial" w:cs="Arial"/>
                <w:b/>
                <w:sz w:val="20"/>
                <w:szCs w:val="20"/>
              </w:rPr>
              <w:t xml:space="preserve">Estimated investment </w:t>
            </w:r>
            <w:r w:rsidR="00777EB7">
              <w:rPr>
                <w:rFonts w:ascii="Arial" w:hAnsi="Arial" w:cs="Arial"/>
                <w:b/>
                <w:sz w:val="20"/>
                <w:szCs w:val="20"/>
              </w:rPr>
              <w:t xml:space="preserve"> capital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75A2F" w:rsidRPr="00777EB7" w:rsidRDefault="00F75A2F" w:rsidP="00DD4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EB7">
              <w:rPr>
                <w:rFonts w:ascii="Arial" w:hAnsi="Arial" w:cs="Arial"/>
                <w:b/>
                <w:sz w:val="20"/>
                <w:szCs w:val="20"/>
              </w:rPr>
              <w:t>Capital used from the issuance</w:t>
            </w:r>
          </w:p>
        </w:tc>
      </w:tr>
      <w:tr w:rsidR="002D5763" w:rsidRPr="001C1FC4">
        <w:tc>
          <w:tcPr>
            <w:tcW w:w="540" w:type="dxa"/>
            <w:shd w:val="clear" w:color="auto" w:fill="auto"/>
          </w:tcPr>
          <w:p w:rsidR="002D5763" w:rsidRPr="001C1FC4" w:rsidRDefault="002D5763" w:rsidP="00EF62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1F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2D5763" w:rsidRPr="001C1FC4" w:rsidRDefault="00356E63" w:rsidP="00356E6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1FC4">
              <w:rPr>
                <w:rFonts w:ascii="Arial" w:hAnsi="Arial" w:cs="Arial"/>
                <w:b/>
                <w:sz w:val="20"/>
                <w:szCs w:val="20"/>
              </w:rPr>
              <w:t xml:space="preserve">Investment in </w:t>
            </w:r>
            <w:r w:rsidR="002D5763" w:rsidRPr="001C1FC4">
              <w:rPr>
                <w:rFonts w:ascii="Arial" w:hAnsi="Arial" w:cs="Arial"/>
                <w:b/>
                <w:sz w:val="20"/>
                <w:szCs w:val="20"/>
              </w:rPr>
              <w:t>TBCO</w:t>
            </w:r>
            <w:r w:rsidRPr="001C1FC4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2D5763" w:rsidRPr="001C1FC4">
              <w:rPr>
                <w:rFonts w:ascii="Arial" w:hAnsi="Arial" w:cs="Arial"/>
                <w:b/>
                <w:sz w:val="20"/>
                <w:szCs w:val="20"/>
              </w:rPr>
              <w:t xml:space="preserve"> project</w:t>
            </w:r>
          </w:p>
        </w:tc>
        <w:tc>
          <w:tcPr>
            <w:tcW w:w="1620" w:type="dxa"/>
            <w:shd w:val="clear" w:color="auto" w:fill="auto"/>
          </w:tcPr>
          <w:p w:rsidR="002D5763" w:rsidRPr="001C1FC4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  <w:r w:rsidRPr="001C1FC4">
              <w:rPr>
                <w:rFonts w:ascii="Arial" w:hAnsi="Arial" w:cs="Arial"/>
                <w:b/>
                <w:sz w:val="20"/>
                <w:szCs w:val="20"/>
              </w:rPr>
              <w:t>46,7</w:t>
            </w:r>
          </w:p>
        </w:tc>
        <w:tc>
          <w:tcPr>
            <w:tcW w:w="2520" w:type="dxa"/>
            <w:shd w:val="clear" w:color="auto" w:fill="auto"/>
          </w:tcPr>
          <w:p w:rsidR="002D5763" w:rsidRPr="001C1FC4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  <w:r w:rsidRPr="001C1FC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2D5763" w:rsidRPr="00777EB7">
        <w:tc>
          <w:tcPr>
            <w:tcW w:w="540" w:type="dxa"/>
            <w:shd w:val="clear" w:color="auto" w:fill="auto"/>
          </w:tcPr>
          <w:p w:rsidR="002D5763" w:rsidRPr="00777EB7" w:rsidRDefault="002D5763" w:rsidP="00EF629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EB7">
              <w:rPr>
                <w:rFonts w:ascii="Arial" w:hAnsi="Arial" w:cs="Arial"/>
                <w:sz w:val="20"/>
                <w:szCs w:val="20"/>
              </w:rPr>
              <w:t>a,</w:t>
            </w:r>
          </w:p>
        </w:tc>
        <w:tc>
          <w:tcPr>
            <w:tcW w:w="4500" w:type="dxa"/>
            <w:shd w:val="clear" w:color="auto" w:fill="auto"/>
          </w:tcPr>
          <w:p w:rsidR="002D5763" w:rsidRPr="00777EB7" w:rsidRDefault="002D5763" w:rsidP="00356E6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EB7">
              <w:rPr>
                <w:rFonts w:ascii="Arial" w:hAnsi="Arial" w:cs="Arial"/>
                <w:sz w:val="20"/>
                <w:szCs w:val="20"/>
              </w:rPr>
              <w:t>Expenses for construction of main works, equipment expenses, work completion ...</w:t>
            </w:r>
          </w:p>
        </w:tc>
        <w:tc>
          <w:tcPr>
            <w:tcW w:w="16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42,5</w:t>
            </w:r>
          </w:p>
        </w:tc>
        <w:tc>
          <w:tcPr>
            <w:tcW w:w="25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D5763" w:rsidRPr="00777EB7">
        <w:tc>
          <w:tcPr>
            <w:tcW w:w="540" w:type="dxa"/>
            <w:shd w:val="clear" w:color="auto" w:fill="auto"/>
          </w:tcPr>
          <w:p w:rsidR="002D5763" w:rsidRPr="00777EB7" w:rsidRDefault="002D5763" w:rsidP="00EF629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EB7">
              <w:rPr>
                <w:rFonts w:ascii="Arial" w:hAnsi="Arial" w:cs="Arial"/>
                <w:sz w:val="20"/>
                <w:szCs w:val="20"/>
              </w:rPr>
              <w:t>b,</w:t>
            </w:r>
          </w:p>
        </w:tc>
        <w:tc>
          <w:tcPr>
            <w:tcW w:w="4500" w:type="dxa"/>
            <w:shd w:val="clear" w:color="auto" w:fill="auto"/>
          </w:tcPr>
          <w:p w:rsidR="002D5763" w:rsidRPr="00777EB7" w:rsidRDefault="002D5763" w:rsidP="00356E6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EB7">
              <w:rPr>
                <w:rFonts w:ascii="Arial" w:hAnsi="Arial" w:cs="Arial"/>
                <w:sz w:val="20"/>
                <w:szCs w:val="20"/>
              </w:rPr>
              <w:t>Other costs</w:t>
            </w:r>
          </w:p>
        </w:tc>
        <w:tc>
          <w:tcPr>
            <w:tcW w:w="16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25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D5763" w:rsidRPr="001C1FC4">
        <w:tc>
          <w:tcPr>
            <w:tcW w:w="540" w:type="dxa"/>
            <w:shd w:val="clear" w:color="auto" w:fill="auto"/>
          </w:tcPr>
          <w:p w:rsidR="002D5763" w:rsidRPr="001C1FC4" w:rsidRDefault="002D5763" w:rsidP="00EF629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1FC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2D5763" w:rsidRPr="001C1FC4" w:rsidRDefault="002D5763" w:rsidP="00356E6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1FC4">
              <w:rPr>
                <w:rFonts w:ascii="Arial" w:hAnsi="Arial" w:cs="Arial"/>
                <w:b/>
                <w:sz w:val="20"/>
                <w:szCs w:val="20"/>
              </w:rPr>
              <w:t>Invest</w:t>
            </w:r>
            <w:r w:rsidR="00356E63" w:rsidRPr="001C1FC4">
              <w:rPr>
                <w:rFonts w:ascii="Arial" w:hAnsi="Arial" w:cs="Arial"/>
                <w:b/>
                <w:sz w:val="20"/>
                <w:szCs w:val="20"/>
              </w:rPr>
              <w:t>ment</w:t>
            </w:r>
            <w:r w:rsidRPr="001C1FC4">
              <w:rPr>
                <w:rFonts w:ascii="Arial" w:hAnsi="Arial" w:cs="Arial"/>
                <w:b/>
                <w:sz w:val="20"/>
                <w:szCs w:val="20"/>
              </w:rPr>
              <w:t xml:space="preserve"> in TBCO 3 project</w:t>
            </w:r>
          </w:p>
        </w:tc>
        <w:tc>
          <w:tcPr>
            <w:tcW w:w="1620" w:type="dxa"/>
            <w:shd w:val="clear" w:color="auto" w:fill="auto"/>
          </w:tcPr>
          <w:p w:rsidR="002D5763" w:rsidRPr="001C1FC4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  <w:r w:rsidRPr="001C1FC4">
              <w:rPr>
                <w:rFonts w:ascii="Arial" w:hAnsi="Arial" w:cs="Arial"/>
                <w:b/>
                <w:sz w:val="20"/>
                <w:szCs w:val="20"/>
              </w:rPr>
              <w:t>968,4</w:t>
            </w:r>
          </w:p>
        </w:tc>
        <w:tc>
          <w:tcPr>
            <w:tcW w:w="2520" w:type="dxa"/>
            <w:shd w:val="clear" w:color="auto" w:fill="auto"/>
          </w:tcPr>
          <w:p w:rsidR="002D5763" w:rsidRPr="001C1FC4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  <w:r w:rsidRPr="001C1FC4">
              <w:rPr>
                <w:rFonts w:ascii="Arial" w:hAnsi="Arial" w:cs="Arial"/>
                <w:b/>
                <w:sz w:val="20"/>
                <w:szCs w:val="20"/>
              </w:rPr>
              <w:t>184,5</w:t>
            </w:r>
          </w:p>
        </w:tc>
      </w:tr>
      <w:tr w:rsidR="002D5763" w:rsidRPr="00777EB7">
        <w:tc>
          <w:tcPr>
            <w:tcW w:w="540" w:type="dxa"/>
            <w:shd w:val="clear" w:color="auto" w:fill="auto"/>
          </w:tcPr>
          <w:p w:rsidR="002D5763" w:rsidRPr="00777EB7" w:rsidRDefault="00356E63" w:rsidP="00356E6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</w:t>
            </w:r>
          </w:p>
        </w:tc>
        <w:tc>
          <w:tcPr>
            <w:tcW w:w="4500" w:type="dxa"/>
            <w:shd w:val="clear" w:color="auto" w:fill="auto"/>
          </w:tcPr>
          <w:p w:rsidR="002D5763" w:rsidRPr="00777EB7" w:rsidRDefault="00356E63" w:rsidP="00356E6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D5763" w:rsidRPr="00777EB7">
              <w:rPr>
                <w:rFonts w:ascii="Arial" w:hAnsi="Arial" w:cs="Arial"/>
                <w:sz w:val="20"/>
                <w:szCs w:val="20"/>
              </w:rPr>
              <w:t>learance</w:t>
            </w:r>
            <w:r>
              <w:rPr>
                <w:rFonts w:ascii="Arial" w:hAnsi="Arial" w:cs="Arial"/>
                <w:sz w:val="20"/>
                <w:szCs w:val="20"/>
              </w:rPr>
              <w:t xml:space="preserve"> Cost</w:t>
            </w:r>
          </w:p>
        </w:tc>
        <w:tc>
          <w:tcPr>
            <w:tcW w:w="16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152,9</w:t>
            </w:r>
          </w:p>
        </w:tc>
        <w:tc>
          <w:tcPr>
            <w:tcW w:w="25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2D5763" w:rsidRPr="00777EB7">
        <w:tc>
          <w:tcPr>
            <w:tcW w:w="540" w:type="dxa"/>
            <w:shd w:val="clear" w:color="auto" w:fill="auto"/>
          </w:tcPr>
          <w:p w:rsidR="002D5763" w:rsidRPr="00777EB7" w:rsidRDefault="00356E63" w:rsidP="00356E6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b,</w:t>
            </w:r>
          </w:p>
        </w:tc>
        <w:tc>
          <w:tcPr>
            <w:tcW w:w="4500" w:type="dxa"/>
            <w:shd w:val="clear" w:color="auto" w:fill="auto"/>
          </w:tcPr>
          <w:p w:rsidR="002D5763" w:rsidRPr="00777EB7" w:rsidRDefault="00356E63" w:rsidP="00356E6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cost</w:t>
            </w:r>
            <w:r w:rsidR="002D5763" w:rsidRPr="00777EB7">
              <w:rPr>
                <w:rFonts w:ascii="Arial" w:hAnsi="Arial" w:cs="Arial"/>
                <w:sz w:val="20"/>
                <w:szCs w:val="20"/>
              </w:rPr>
              <w:t>; device</w:t>
            </w:r>
            <w:r>
              <w:rPr>
                <w:rFonts w:ascii="Arial" w:hAnsi="Arial" w:cs="Arial"/>
                <w:sz w:val="20"/>
                <w:szCs w:val="20"/>
              </w:rPr>
              <w:t>s; tree park i</w:t>
            </w:r>
            <w:r w:rsidR="002D5763" w:rsidRPr="00777EB7">
              <w:rPr>
                <w:rFonts w:ascii="Arial" w:hAnsi="Arial" w:cs="Arial"/>
                <w:sz w:val="20"/>
                <w:szCs w:val="20"/>
              </w:rPr>
              <w:t>nfrastructure</w:t>
            </w:r>
          </w:p>
        </w:tc>
        <w:tc>
          <w:tcPr>
            <w:tcW w:w="16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25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2D5763" w:rsidRPr="00777EB7">
        <w:tc>
          <w:tcPr>
            <w:tcW w:w="540" w:type="dxa"/>
            <w:shd w:val="clear" w:color="auto" w:fill="auto"/>
          </w:tcPr>
          <w:p w:rsidR="002D5763" w:rsidRPr="00777EB7" w:rsidRDefault="00356E63" w:rsidP="00356E6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</w:t>
            </w:r>
          </w:p>
        </w:tc>
        <w:tc>
          <w:tcPr>
            <w:tcW w:w="4500" w:type="dxa"/>
            <w:shd w:val="clear" w:color="auto" w:fill="auto"/>
          </w:tcPr>
          <w:p w:rsidR="002D5763" w:rsidRPr="00777EB7" w:rsidRDefault="002D5763" w:rsidP="00356E6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EB7">
              <w:rPr>
                <w:rFonts w:ascii="Arial" w:hAnsi="Arial" w:cs="Arial"/>
                <w:sz w:val="20"/>
                <w:szCs w:val="20"/>
              </w:rPr>
              <w:t>Consultancy fees and management</w:t>
            </w:r>
          </w:p>
        </w:tc>
        <w:tc>
          <w:tcPr>
            <w:tcW w:w="16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25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D5763" w:rsidRPr="00777EB7">
        <w:tc>
          <w:tcPr>
            <w:tcW w:w="540" w:type="dxa"/>
            <w:shd w:val="clear" w:color="auto" w:fill="auto"/>
          </w:tcPr>
          <w:p w:rsidR="002D5763" w:rsidRPr="00777EB7" w:rsidRDefault="00356E63" w:rsidP="00356E6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</w:t>
            </w:r>
          </w:p>
        </w:tc>
        <w:tc>
          <w:tcPr>
            <w:tcW w:w="4500" w:type="dxa"/>
            <w:shd w:val="clear" w:color="auto" w:fill="auto"/>
          </w:tcPr>
          <w:p w:rsidR="002D5763" w:rsidRPr="00777EB7" w:rsidRDefault="002D5763" w:rsidP="00356E6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EB7">
              <w:rPr>
                <w:rFonts w:ascii="Arial" w:hAnsi="Arial" w:cs="Arial"/>
                <w:sz w:val="20"/>
                <w:szCs w:val="20"/>
              </w:rPr>
              <w:t>Other costs</w:t>
            </w:r>
          </w:p>
        </w:tc>
        <w:tc>
          <w:tcPr>
            <w:tcW w:w="16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2520" w:type="dxa"/>
            <w:shd w:val="clear" w:color="auto" w:fill="auto"/>
          </w:tcPr>
          <w:p w:rsidR="002D5763" w:rsidRPr="00777EB7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D5763" w:rsidRPr="00356E63">
        <w:tc>
          <w:tcPr>
            <w:tcW w:w="540" w:type="dxa"/>
            <w:shd w:val="clear" w:color="auto" w:fill="auto"/>
          </w:tcPr>
          <w:p w:rsidR="002D5763" w:rsidRPr="00356E63" w:rsidRDefault="002D5763" w:rsidP="004B56B4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2D5763" w:rsidRPr="00356E63" w:rsidRDefault="00356E63" w:rsidP="00356E6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E63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2D5763" w:rsidRPr="00356E63"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  <w:tc>
          <w:tcPr>
            <w:tcW w:w="1620" w:type="dxa"/>
            <w:shd w:val="clear" w:color="auto" w:fill="auto"/>
          </w:tcPr>
          <w:p w:rsidR="002D5763" w:rsidRPr="00356E63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1.015,1</w:t>
            </w:r>
          </w:p>
        </w:tc>
        <w:tc>
          <w:tcPr>
            <w:tcW w:w="2520" w:type="dxa"/>
            <w:shd w:val="clear" w:color="auto" w:fill="auto"/>
          </w:tcPr>
          <w:p w:rsidR="002D5763" w:rsidRPr="00356E63" w:rsidRDefault="00356E63" w:rsidP="00C247D4">
            <w:pPr>
              <w:spacing w:before="60" w:after="60" w:line="276" w:lineRule="auto"/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193,5</w:t>
            </w:r>
          </w:p>
        </w:tc>
      </w:tr>
    </w:tbl>
    <w:p w:rsidR="00B937FA" w:rsidRDefault="00B937FA" w:rsidP="001C1FC4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814B2" w:rsidRPr="00517640" w:rsidRDefault="00D814B2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C1FC4">
        <w:rPr>
          <w:rFonts w:ascii="Arial" w:hAnsi="Arial" w:cs="Arial"/>
          <w:b/>
          <w:sz w:val="20"/>
          <w:szCs w:val="20"/>
          <w:u w:val="single"/>
        </w:rPr>
        <w:t>Article 10:</w:t>
      </w:r>
      <w:r w:rsidR="001C1FC4">
        <w:rPr>
          <w:rFonts w:ascii="Arial" w:hAnsi="Arial" w:cs="Arial"/>
          <w:sz w:val="20"/>
          <w:szCs w:val="20"/>
        </w:rPr>
        <w:t xml:space="preserve"> Approve </w:t>
      </w:r>
      <w:r w:rsidRPr="00517640">
        <w:rPr>
          <w:rFonts w:ascii="Arial" w:hAnsi="Arial" w:cs="Arial"/>
          <w:sz w:val="20"/>
          <w:szCs w:val="20"/>
        </w:rPr>
        <w:t>the audit</w:t>
      </w:r>
      <w:r w:rsidR="001C1FC4">
        <w:rPr>
          <w:rFonts w:ascii="Arial" w:hAnsi="Arial" w:cs="Arial"/>
          <w:sz w:val="20"/>
          <w:szCs w:val="20"/>
        </w:rPr>
        <w:t>ing report on capital using</w:t>
      </w:r>
      <w:r w:rsidRPr="00517640">
        <w:rPr>
          <w:rFonts w:ascii="Arial" w:hAnsi="Arial" w:cs="Arial"/>
          <w:sz w:val="20"/>
          <w:szCs w:val="20"/>
        </w:rPr>
        <w:t xml:space="preserve"> of the capital increase from </w:t>
      </w:r>
      <w:r w:rsidR="001C1FC4">
        <w:rPr>
          <w:rFonts w:ascii="Arial" w:hAnsi="Arial" w:cs="Arial"/>
          <w:sz w:val="20"/>
          <w:szCs w:val="20"/>
        </w:rPr>
        <w:t>VND 73,5 billion to VND 143,</w:t>
      </w:r>
      <w:r w:rsidRPr="00517640">
        <w:rPr>
          <w:rFonts w:ascii="Arial" w:hAnsi="Arial" w:cs="Arial"/>
          <w:sz w:val="20"/>
          <w:szCs w:val="20"/>
        </w:rPr>
        <w:t>5 billion</w:t>
      </w:r>
    </w:p>
    <w:p w:rsidR="00D814B2" w:rsidRPr="00517640" w:rsidRDefault="00D814B2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The General </w:t>
      </w:r>
      <w:r w:rsidR="00596B95">
        <w:rPr>
          <w:rFonts w:ascii="Arial" w:hAnsi="Arial" w:cs="Arial"/>
          <w:sz w:val="20"/>
          <w:szCs w:val="20"/>
        </w:rPr>
        <w:t>Meeting of Shareholders discusses and approves</w:t>
      </w:r>
      <w:r w:rsidRPr="00517640">
        <w:rPr>
          <w:rFonts w:ascii="Arial" w:hAnsi="Arial" w:cs="Arial"/>
          <w:sz w:val="20"/>
          <w:szCs w:val="20"/>
        </w:rPr>
        <w:t xml:space="preserve"> the audit</w:t>
      </w:r>
      <w:r w:rsidR="00596B95">
        <w:rPr>
          <w:rFonts w:ascii="Arial" w:hAnsi="Arial" w:cs="Arial"/>
          <w:sz w:val="20"/>
          <w:szCs w:val="20"/>
        </w:rPr>
        <w:t>ing report on capital using</w:t>
      </w:r>
      <w:r w:rsidRPr="00517640">
        <w:rPr>
          <w:rFonts w:ascii="Arial" w:hAnsi="Arial" w:cs="Arial"/>
          <w:sz w:val="20"/>
          <w:szCs w:val="20"/>
        </w:rPr>
        <w:t xml:space="preserve"> of the increase from </w:t>
      </w:r>
      <w:r w:rsidR="00596B95">
        <w:rPr>
          <w:rFonts w:ascii="Arial" w:hAnsi="Arial" w:cs="Arial"/>
          <w:sz w:val="20"/>
          <w:szCs w:val="20"/>
        </w:rPr>
        <w:t>VND 73,</w:t>
      </w:r>
      <w:r w:rsidRPr="00517640">
        <w:rPr>
          <w:rFonts w:ascii="Arial" w:hAnsi="Arial" w:cs="Arial"/>
          <w:sz w:val="20"/>
          <w:szCs w:val="20"/>
        </w:rPr>
        <w:t xml:space="preserve">5 billion dong to </w:t>
      </w:r>
      <w:r w:rsidR="00596B95">
        <w:rPr>
          <w:rFonts w:ascii="Arial" w:hAnsi="Arial" w:cs="Arial"/>
          <w:sz w:val="20"/>
          <w:szCs w:val="20"/>
        </w:rPr>
        <w:t>VND 143,</w:t>
      </w:r>
      <w:r w:rsidRPr="00517640">
        <w:rPr>
          <w:rFonts w:ascii="Arial" w:hAnsi="Arial" w:cs="Arial"/>
          <w:sz w:val="20"/>
          <w:szCs w:val="20"/>
        </w:rPr>
        <w:t>5 billion audited by TTP</w:t>
      </w:r>
      <w:r w:rsidR="00B43DE8">
        <w:rPr>
          <w:rFonts w:ascii="Arial" w:hAnsi="Arial" w:cs="Arial"/>
          <w:sz w:val="20"/>
          <w:szCs w:val="20"/>
        </w:rPr>
        <w:t xml:space="preserve"> Auditing Company Ltd.,</w:t>
      </w:r>
    </w:p>
    <w:p w:rsidR="00F37937" w:rsidRDefault="00F37937" w:rsidP="00F37937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D814B2" w:rsidRPr="00596B95" w:rsidRDefault="00D814B2" w:rsidP="00DD4BC7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596B95">
        <w:rPr>
          <w:rFonts w:ascii="Arial" w:hAnsi="Arial" w:cs="Arial"/>
          <w:b/>
          <w:sz w:val="20"/>
          <w:szCs w:val="20"/>
          <w:u w:val="single"/>
        </w:rPr>
        <w:t>Article 11:</w:t>
      </w:r>
      <w:r w:rsidR="009E59DB">
        <w:rPr>
          <w:rFonts w:ascii="Arial" w:hAnsi="Arial" w:cs="Arial"/>
          <w:b/>
          <w:sz w:val="20"/>
          <w:szCs w:val="20"/>
        </w:rPr>
        <w:t xml:space="preserve"> Approve the plan of</w:t>
      </w:r>
      <w:r w:rsidRPr="00596B95">
        <w:rPr>
          <w:rFonts w:ascii="Arial" w:hAnsi="Arial" w:cs="Arial"/>
          <w:b/>
          <w:sz w:val="20"/>
          <w:szCs w:val="20"/>
        </w:rPr>
        <w:t xml:space="preserve"> capital contribution for establishment of associate company</w:t>
      </w:r>
    </w:p>
    <w:p w:rsidR="00D814B2" w:rsidRPr="00517640" w:rsidRDefault="00D814B2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1. Contents:</w:t>
      </w:r>
    </w:p>
    <w:p w:rsidR="00D814B2" w:rsidRPr="00517640" w:rsidRDefault="00D814B2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- </w:t>
      </w:r>
      <w:r w:rsidR="009E59DB">
        <w:rPr>
          <w:rFonts w:ascii="Arial" w:hAnsi="Arial" w:cs="Arial"/>
          <w:sz w:val="20"/>
          <w:szCs w:val="20"/>
        </w:rPr>
        <w:t xml:space="preserve"> </w:t>
      </w:r>
      <w:r w:rsidRPr="00517640">
        <w:rPr>
          <w:rFonts w:ascii="Arial" w:hAnsi="Arial" w:cs="Arial"/>
          <w:sz w:val="20"/>
          <w:szCs w:val="20"/>
        </w:rPr>
        <w:t xml:space="preserve">Company name: </w:t>
      </w:r>
      <w:r w:rsidR="009E59DB">
        <w:rPr>
          <w:rFonts w:ascii="Arial" w:hAnsi="Arial" w:cs="Arial"/>
          <w:sz w:val="20"/>
          <w:szCs w:val="20"/>
        </w:rPr>
        <w:t xml:space="preserve">TTB </w:t>
      </w:r>
      <w:r w:rsidRPr="00517640">
        <w:rPr>
          <w:rFonts w:ascii="Arial" w:hAnsi="Arial" w:cs="Arial"/>
          <w:sz w:val="20"/>
          <w:szCs w:val="20"/>
        </w:rPr>
        <w:t>Bac Giang Investment Joint Stock Company;</w:t>
      </w:r>
    </w:p>
    <w:p w:rsidR="00D814B2" w:rsidRPr="00517640" w:rsidRDefault="00D814B2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 Charter</w:t>
      </w:r>
      <w:r w:rsidR="00B43DE8">
        <w:rPr>
          <w:rFonts w:ascii="Arial" w:hAnsi="Arial" w:cs="Arial"/>
          <w:sz w:val="20"/>
          <w:szCs w:val="20"/>
        </w:rPr>
        <w:t>ed capital: VND</w:t>
      </w:r>
      <w:r w:rsidR="009E59DB">
        <w:rPr>
          <w:rFonts w:ascii="Arial" w:hAnsi="Arial" w:cs="Arial"/>
          <w:sz w:val="20"/>
          <w:szCs w:val="20"/>
        </w:rPr>
        <w:t xml:space="preserve"> </w:t>
      </w:r>
      <w:r w:rsidR="00B43DE8">
        <w:rPr>
          <w:rFonts w:ascii="Arial" w:hAnsi="Arial" w:cs="Arial"/>
          <w:sz w:val="20"/>
          <w:szCs w:val="20"/>
        </w:rPr>
        <w:t xml:space="preserve">165,000,000,000 </w:t>
      </w:r>
      <w:r w:rsidR="009E59DB">
        <w:rPr>
          <w:rFonts w:ascii="Arial" w:hAnsi="Arial" w:cs="Arial"/>
          <w:sz w:val="20"/>
          <w:szCs w:val="20"/>
        </w:rPr>
        <w:t>of which TB Corporation</w:t>
      </w:r>
      <w:r w:rsidRPr="00517640">
        <w:rPr>
          <w:rFonts w:ascii="Arial" w:hAnsi="Arial" w:cs="Arial"/>
          <w:sz w:val="20"/>
          <w:szCs w:val="20"/>
        </w:rPr>
        <w:t xml:space="preserve"> Joint Stock Compan</w:t>
      </w:r>
      <w:r w:rsidR="009E59DB">
        <w:rPr>
          <w:rFonts w:ascii="Arial" w:hAnsi="Arial" w:cs="Arial"/>
          <w:sz w:val="20"/>
          <w:szCs w:val="20"/>
        </w:rPr>
        <w:t>y contributes</w:t>
      </w:r>
      <w:r w:rsidRPr="00517640">
        <w:rPr>
          <w:rFonts w:ascii="Arial" w:hAnsi="Arial" w:cs="Arial"/>
          <w:sz w:val="20"/>
          <w:szCs w:val="20"/>
        </w:rPr>
        <w:t xml:space="preserve"> </w:t>
      </w:r>
      <w:r w:rsidR="009E59DB">
        <w:rPr>
          <w:rFonts w:ascii="Arial" w:hAnsi="Arial" w:cs="Arial"/>
          <w:sz w:val="20"/>
          <w:szCs w:val="20"/>
        </w:rPr>
        <w:t xml:space="preserve">VND </w:t>
      </w:r>
      <w:r w:rsidRPr="00517640">
        <w:rPr>
          <w:rFonts w:ascii="Arial" w:hAnsi="Arial" w:cs="Arial"/>
          <w:sz w:val="20"/>
          <w:szCs w:val="20"/>
        </w:rPr>
        <w:t>75,000,000,000 equivalent to 46.87% of charter</w:t>
      </w:r>
      <w:r w:rsidR="009E59DB">
        <w:rPr>
          <w:rFonts w:ascii="Arial" w:hAnsi="Arial" w:cs="Arial"/>
          <w:sz w:val="20"/>
          <w:szCs w:val="20"/>
        </w:rPr>
        <w:t>ed</w:t>
      </w:r>
      <w:r w:rsidRPr="00517640">
        <w:rPr>
          <w:rFonts w:ascii="Arial" w:hAnsi="Arial" w:cs="Arial"/>
          <w:sz w:val="20"/>
          <w:szCs w:val="20"/>
        </w:rPr>
        <w:t xml:space="preserve"> capital.</w:t>
      </w:r>
    </w:p>
    <w:p w:rsidR="00D814B2" w:rsidRPr="00517640" w:rsidRDefault="00D814B2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 Scope of busin</w:t>
      </w:r>
      <w:r w:rsidR="00A32DC3">
        <w:rPr>
          <w:rFonts w:ascii="Arial" w:hAnsi="Arial" w:cs="Arial"/>
          <w:sz w:val="20"/>
          <w:szCs w:val="20"/>
        </w:rPr>
        <w:t>ess: M</w:t>
      </w:r>
      <w:r w:rsidRPr="00517640">
        <w:rPr>
          <w:rFonts w:ascii="Arial" w:hAnsi="Arial" w:cs="Arial"/>
          <w:sz w:val="20"/>
          <w:szCs w:val="20"/>
        </w:rPr>
        <w:t>ain business</w:t>
      </w:r>
      <w:r w:rsidR="00A32DC3">
        <w:rPr>
          <w:rFonts w:ascii="Arial" w:hAnsi="Arial" w:cs="Arial"/>
          <w:sz w:val="20"/>
          <w:szCs w:val="20"/>
        </w:rPr>
        <w:t>es</w:t>
      </w:r>
      <w:r w:rsidR="000234AF">
        <w:rPr>
          <w:rFonts w:ascii="Arial" w:hAnsi="Arial" w:cs="Arial"/>
          <w:sz w:val="20"/>
          <w:szCs w:val="20"/>
        </w:rPr>
        <w:t xml:space="preserve"> are</w:t>
      </w:r>
      <w:r w:rsidRPr="00517640">
        <w:rPr>
          <w:rFonts w:ascii="Arial" w:hAnsi="Arial" w:cs="Arial"/>
          <w:sz w:val="20"/>
          <w:szCs w:val="20"/>
        </w:rPr>
        <w:t xml:space="preserve"> real estate, consulting, real estate brokerage</w:t>
      </w:r>
      <w:r w:rsidR="009B794C">
        <w:rPr>
          <w:rFonts w:ascii="Arial" w:hAnsi="Arial" w:cs="Arial"/>
          <w:sz w:val="20"/>
          <w:szCs w:val="20"/>
        </w:rPr>
        <w:t>.</w:t>
      </w:r>
    </w:p>
    <w:p w:rsidR="00D814B2" w:rsidRPr="00517640" w:rsidRDefault="00A32DC3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Purpose: D</w:t>
      </w:r>
      <w:r w:rsidR="00D814B2" w:rsidRPr="00517640">
        <w:rPr>
          <w:rFonts w:ascii="Arial" w:hAnsi="Arial" w:cs="Arial"/>
          <w:sz w:val="20"/>
          <w:szCs w:val="20"/>
        </w:rPr>
        <w:t>evelop real estate projects with TBCO trademark in Bac Giang province.</w:t>
      </w:r>
    </w:p>
    <w:p w:rsidR="00D814B2" w:rsidRPr="00517640" w:rsidRDefault="00D814B2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2. General </w:t>
      </w:r>
      <w:r w:rsidR="00201571">
        <w:rPr>
          <w:rFonts w:ascii="Arial" w:hAnsi="Arial" w:cs="Arial"/>
          <w:sz w:val="20"/>
          <w:szCs w:val="20"/>
        </w:rPr>
        <w:t>Meeting of Shareholders authorizes the Board of Directors;</w:t>
      </w:r>
    </w:p>
    <w:p w:rsidR="00D814B2" w:rsidRPr="00517640" w:rsidRDefault="00D814B2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- Carry out the procedures to establish </w:t>
      </w:r>
      <w:r w:rsidR="009B794C">
        <w:rPr>
          <w:rFonts w:ascii="Arial" w:hAnsi="Arial" w:cs="Arial"/>
          <w:sz w:val="20"/>
          <w:szCs w:val="20"/>
        </w:rPr>
        <w:t xml:space="preserve">TTP </w:t>
      </w:r>
      <w:r w:rsidRPr="00517640">
        <w:rPr>
          <w:rFonts w:ascii="Arial" w:hAnsi="Arial" w:cs="Arial"/>
          <w:sz w:val="20"/>
          <w:szCs w:val="20"/>
        </w:rPr>
        <w:t>Bac Giang</w:t>
      </w:r>
      <w:r w:rsidR="009B794C">
        <w:rPr>
          <w:rFonts w:ascii="Arial" w:hAnsi="Arial" w:cs="Arial"/>
          <w:sz w:val="20"/>
          <w:szCs w:val="20"/>
        </w:rPr>
        <w:t xml:space="preserve"> </w:t>
      </w:r>
      <w:r w:rsidRPr="00517640">
        <w:rPr>
          <w:rFonts w:ascii="Arial" w:hAnsi="Arial" w:cs="Arial"/>
          <w:sz w:val="20"/>
          <w:szCs w:val="20"/>
        </w:rPr>
        <w:t>Investment Joint Stock Company.</w:t>
      </w:r>
    </w:p>
    <w:p w:rsidR="00D814B2" w:rsidRDefault="00D814B2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 Select the legal representative of TTP Bac Giang Investment Joint Stock Company</w:t>
      </w:r>
      <w:r w:rsidR="009B794C">
        <w:rPr>
          <w:rFonts w:ascii="Arial" w:hAnsi="Arial" w:cs="Arial"/>
          <w:sz w:val="20"/>
          <w:szCs w:val="20"/>
        </w:rPr>
        <w:t>.</w:t>
      </w:r>
    </w:p>
    <w:p w:rsidR="00EE6971" w:rsidRPr="00517640" w:rsidRDefault="00EE6971" w:rsidP="00F37937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D814B2" w:rsidRPr="00596B95" w:rsidRDefault="00596B95" w:rsidP="00DD4BC7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Article 12:</w:t>
      </w:r>
      <w:r w:rsidRPr="00596B95">
        <w:rPr>
          <w:rFonts w:ascii="Arial" w:hAnsi="Arial" w:cs="Arial"/>
          <w:sz w:val="20"/>
          <w:szCs w:val="20"/>
        </w:rPr>
        <w:t xml:space="preserve"> Effect</w:t>
      </w:r>
    </w:p>
    <w:p w:rsidR="00F22015" w:rsidRPr="00192BF5" w:rsidRDefault="00D814B2" w:rsidP="00DD4BC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highlight w:val="yellow"/>
        </w:rPr>
      </w:pPr>
      <w:r w:rsidRPr="00192BF5">
        <w:rPr>
          <w:rFonts w:ascii="Arial" w:hAnsi="Arial" w:cs="Arial"/>
          <w:sz w:val="20"/>
          <w:szCs w:val="20"/>
        </w:rPr>
        <w:t xml:space="preserve">This resolution takes effect from the date of signing. The </w:t>
      </w:r>
      <w:r w:rsidR="00192BF5">
        <w:rPr>
          <w:rFonts w:ascii="Arial" w:hAnsi="Arial" w:cs="Arial"/>
          <w:sz w:val="20"/>
          <w:szCs w:val="20"/>
        </w:rPr>
        <w:t xml:space="preserve">Board of Directors, </w:t>
      </w:r>
      <w:r w:rsidRPr="00192BF5">
        <w:rPr>
          <w:rFonts w:ascii="Arial" w:hAnsi="Arial" w:cs="Arial"/>
          <w:sz w:val="20"/>
          <w:szCs w:val="20"/>
        </w:rPr>
        <w:t>Board</w:t>
      </w:r>
      <w:r w:rsidR="00192BF5">
        <w:rPr>
          <w:rFonts w:ascii="Arial" w:hAnsi="Arial" w:cs="Arial"/>
          <w:sz w:val="20"/>
          <w:szCs w:val="20"/>
        </w:rPr>
        <w:t xml:space="preserve"> of Supervisors</w:t>
      </w:r>
      <w:r w:rsidRPr="00192BF5">
        <w:rPr>
          <w:rFonts w:ascii="Arial" w:hAnsi="Arial" w:cs="Arial"/>
          <w:sz w:val="20"/>
          <w:szCs w:val="20"/>
        </w:rPr>
        <w:t xml:space="preserve">, the Board of General Directors and the related persons shall be responsible </w:t>
      </w:r>
      <w:r w:rsidR="00EE6971">
        <w:rPr>
          <w:rFonts w:ascii="Arial" w:hAnsi="Arial" w:cs="Arial"/>
          <w:sz w:val="20"/>
          <w:szCs w:val="20"/>
        </w:rPr>
        <w:t>for the implementation of this r</w:t>
      </w:r>
      <w:r w:rsidRPr="00192BF5">
        <w:rPr>
          <w:rFonts w:ascii="Arial" w:hAnsi="Arial" w:cs="Arial"/>
          <w:sz w:val="20"/>
          <w:szCs w:val="20"/>
        </w:rPr>
        <w:t>esolution</w:t>
      </w:r>
      <w:r w:rsidR="00A44BE4">
        <w:rPr>
          <w:rFonts w:ascii="Arial" w:hAnsi="Arial" w:cs="Arial"/>
          <w:sz w:val="20"/>
          <w:szCs w:val="20"/>
        </w:rPr>
        <w:t>.</w:t>
      </w:r>
    </w:p>
    <w:p w:rsidR="00CD5A64" w:rsidRPr="00517640" w:rsidRDefault="00CD5A64" w:rsidP="004B56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sectPr w:rsidR="00CD5A64" w:rsidRPr="00517640" w:rsidSect="00CD3C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96" w:rsidRDefault="00810096" w:rsidP="00F466E5">
      <w:r>
        <w:separator/>
      </w:r>
    </w:p>
  </w:endnote>
  <w:endnote w:type="continuationSeparator" w:id="0">
    <w:p w:rsidR="00810096" w:rsidRDefault="00810096" w:rsidP="00F4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96" w:rsidRDefault="00810096" w:rsidP="00F466E5">
      <w:r>
        <w:separator/>
      </w:r>
    </w:p>
  </w:footnote>
  <w:footnote w:type="continuationSeparator" w:id="0">
    <w:p w:rsidR="00810096" w:rsidRDefault="00810096" w:rsidP="00F4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392F"/>
    <w:multiLevelType w:val="hybridMultilevel"/>
    <w:tmpl w:val="9A72AF56"/>
    <w:lvl w:ilvl="0" w:tplc="26748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65EF3"/>
    <w:multiLevelType w:val="hybridMultilevel"/>
    <w:tmpl w:val="7898D4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12742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2054"/>
    <w:multiLevelType w:val="hybridMultilevel"/>
    <w:tmpl w:val="54E0A14E"/>
    <w:lvl w:ilvl="0" w:tplc="0EA08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6F1BD6"/>
    <w:multiLevelType w:val="multilevel"/>
    <w:tmpl w:val="A92A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ADC6222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72D7D"/>
    <w:multiLevelType w:val="hybridMultilevel"/>
    <w:tmpl w:val="8D22D4B4"/>
    <w:lvl w:ilvl="0" w:tplc="CB9CBD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4C1064"/>
    <w:multiLevelType w:val="hybridMultilevel"/>
    <w:tmpl w:val="472CE8FC"/>
    <w:lvl w:ilvl="0" w:tplc="E11EC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8F35AD"/>
    <w:multiLevelType w:val="hybridMultilevel"/>
    <w:tmpl w:val="EAEE4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033B2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AD16DF"/>
    <w:multiLevelType w:val="hybridMultilevel"/>
    <w:tmpl w:val="4F920952"/>
    <w:lvl w:ilvl="0" w:tplc="50F64F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011CA"/>
    <w:multiLevelType w:val="hybridMultilevel"/>
    <w:tmpl w:val="F764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06DD4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50347"/>
    <w:multiLevelType w:val="hybridMultilevel"/>
    <w:tmpl w:val="FAB0D406"/>
    <w:lvl w:ilvl="0" w:tplc="1F160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4D69FE"/>
    <w:multiLevelType w:val="hybridMultilevel"/>
    <w:tmpl w:val="5C50B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31C03"/>
    <w:multiLevelType w:val="hybridMultilevel"/>
    <w:tmpl w:val="FBD813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A2826"/>
    <w:multiLevelType w:val="hybridMultilevel"/>
    <w:tmpl w:val="994CA532"/>
    <w:lvl w:ilvl="0" w:tplc="2018A0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C4277"/>
    <w:multiLevelType w:val="hybridMultilevel"/>
    <w:tmpl w:val="0FBE6B38"/>
    <w:lvl w:ilvl="0" w:tplc="A5CAA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B82D4C"/>
    <w:multiLevelType w:val="hybridMultilevel"/>
    <w:tmpl w:val="D6CE5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CE1D26"/>
    <w:multiLevelType w:val="hybridMultilevel"/>
    <w:tmpl w:val="253A8A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B72F6"/>
    <w:multiLevelType w:val="hybridMultilevel"/>
    <w:tmpl w:val="5C9AD7CE"/>
    <w:lvl w:ilvl="0" w:tplc="E9CE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A80699"/>
    <w:multiLevelType w:val="multilevel"/>
    <w:tmpl w:val="EAE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8C6C98"/>
    <w:multiLevelType w:val="multilevel"/>
    <w:tmpl w:val="8FA0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A05EDC"/>
    <w:multiLevelType w:val="hybridMultilevel"/>
    <w:tmpl w:val="3178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E2631"/>
    <w:multiLevelType w:val="hybridMultilevel"/>
    <w:tmpl w:val="D3FAD35E"/>
    <w:lvl w:ilvl="0" w:tplc="A044C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2"/>
  </w:num>
  <w:num w:numId="5">
    <w:abstractNumId w:val="7"/>
  </w:num>
  <w:num w:numId="6">
    <w:abstractNumId w:val="8"/>
  </w:num>
  <w:num w:numId="7">
    <w:abstractNumId w:val="21"/>
  </w:num>
  <w:num w:numId="8">
    <w:abstractNumId w:val="14"/>
  </w:num>
  <w:num w:numId="9">
    <w:abstractNumId w:val="15"/>
  </w:num>
  <w:num w:numId="10">
    <w:abstractNumId w:val="20"/>
  </w:num>
  <w:num w:numId="11">
    <w:abstractNumId w:val="9"/>
  </w:num>
  <w:num w:numId="12">
    <w:abstractNumId w:val="10"/>
  </w:num>
  <w:num w:numId="13">
    <w:abstractNumId w:val="23"/>
  </w:num>
  <w:num w:numId="14">
    <w:abstractNumId w:val="19"/>
  </w:num>
  <w:num w:numId="15">
    <w:abstractNumId w:val="22"/>
  </w:num>
  <w:num w:numId="16">
    <w:abstractNumId w:val="0"/>
  </w:num>
  <w:num w:numId="17">
    <w:abstractNumId w:val="5"/>
  </w:num>
  <w:num w:numId="18">
    <w:abstractNumId w:val="11"/>
  </w:num>
  <w:num w:numId="19">
    <w:abstractNumId w:val="2"/>
  </w:num>
  <w:num w:numId="20">
    <w:abstractNumId w:val="4"/>
  </w:num>
  <w:num w:numId="21">
    <w:abstractNumId w:val="6"/>
  </w:num>
  <w:num w:numId="22">
    <w:abstractNumId w:val="18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EA"/>
    <w:rsid w:val="000169A7"/>
    <w:rsid w:val="000234AF"/>
    <w:rsid w:val="00025C0E"/>
    <w:rsid w:val="000306A7"/>
    <w:rsid w:val="00031F26"/>
    <w:rsid w:val="00036F5D"/>
    <w:rsid w:val="000540D8"/>
    <w:rsid w:val="00056492"/>
    <w:rsid w:val="000578EE"/>
    <w:rsid w:val="0006439C"/>
    <w:rsid w:val="00073F5B"/>
    <w:rsid w:val="00074322"/>
    <w:rsid w:val="00076E6D"/>
    <w:rsid w:val="000817CF"/>
    <w:rsid w:val="00092070"/>
    <w:rsid w:val="00093BBD"/>
    <w:rsid w:val="0009484A"/>
    <w:rsid w:val="000B081E"/>
    <w:rsid w:val="000C2E36"/>
    <w:rsid w:val="000D65A7"/>
    <w:rsid w:val="000F504E"/>
    <w:rsid w:val="00115838"/>
    <w:rsid w:val="0011734D"/>
    <w:rsid w:val="001177BE"/>
    <w:rsid w:val="001200CF"/>
    <w:rsid w:val="0012243A"/>
    <w:rsid w:val="00152584"/>
    <w:rsid w:val="0015267E"/>
    <w:rsid w:val="00156A5A"/>
    <w:rsid w:val="00166875"/>
    <w:rsid w:val="001713B0"/>
    <w:rsid w:val="001754D2"/>
    <w:rsid w:val="00176775"/>
    <w:rsid w:val="00182AD1"/>
    <w:rsid w:val="001835A5"/>
    <w:rsid w:val="00192BF5"/>
    <w:rsid w:val="00192F78"/>
    <w:rsid w:val="001A2A43"/>
    <w:rsid w:val="001A76E7"/>
    <w:rsid w:val="001B1111"/>
    <w:rsid w:val="001B4413"/>
    <w:rsid w:val="001B5D21"/>
    <w:rsid w:val="001C1FC4"/>
    <w:rsid w:val="001C26BC"/>
    <w:rsid w:val="001C4ABE"/>
    <w:rsid w:val="001D40ED"/>
    <w:rsid w:val="001E3A03"/>
    <w:rsid w:val="001E6EA6"/>
    <w:rsid w:val="001E7AB0"/>
    <w:rsid w:val="001F1D18"/>
    <w:rsid w:val="00201571"/>
    <w:rsid w:val="00222378"/>
    <w:rsid w:val="00223E21"/>
    <w:rsid w:val="0022429A"/>
    <w:rsid w:val="00226119"/>
    <w:rsid w:val="0022679A"/>
    <w:rsid w:val="002310A2"/>
    <w:rsid w:val="00235D37"/>
    <w:rsid w:val="00253091"/>
    <w:rsid w:val="0025393C"/>
    <w:rsid w:val="00261E73"/>
    <w:rsid w:val="00267D35"/>
    <w:rsid w:val="0027159C"/>
    <w:rsid w:val="00271B43"/>
    <w:rsid w:val="0027639D"/>
    <w:rsid w:val="00280C69"/>
    <w:rsid w:val="002841A6"/>
    <w:rsid w:val="00292760"/>
    <w:rsid w:val="00293E83"/>
    <w:rsid w:val="002A5006"/>
    <w:rsid w:val="002B4327"/>
    <w:rsid w:val="002B75A3"/>
    <w:rsid w:val="002C39FD"/>
    <w:rsid w:val="002C6D0D"/>
    <w:rsid w:val="002D0AA9"/>
    <w:rsid w:val="002D5763"/>
    <w:rsid w:val="002E65B9"/>
    <w:rsid w:val="002E666B"/>
    <w:rsid w:val="002F1A4F"/>
    <w:rsid w:val="00316DB1"/>
    <w:rsid w:val="00323C1E"/>
    <w:rsid w:val="00324699"/>
    <w:rsid w:val="00324FA6"/>
    <w:rsid w:val="00354832"/>
    <w:rsid w:val="00356E63"/>
    <w:rsid w:val="0036329D"/>
    <w:rsid w:val="00371B5E"/>
    <w:rsid w:val="0037303C"/>
    <w:rsid w:val="00376919"/>
    <w:rsid w:val="003900DC"/>
    <w:rsid w:val="003A5469"/>
    <w:rsid w:val="003A69DD"/>
    <w:rsid w:val="003B3300"/>
    <w:rsid w:val="003B4E0B"/>
    <w:rsid w:val="003B7A96"/>
    <w:rsid w:val="003C2BFE"/>
    <w:rsid w:val="003C5A43"/>
    <w:rsid w:val="003D2831"/>
    <w:rsid w:val="003E26E3"/>
    <w:rsid w:val="003E495C"/>
    <w:rsid w:val="003E4DAF"/>
    <w:rsid w:val="003E572B"/>
    <w:rsid w:val="003E5BC5"/>
    <w:rsid w:val="003F31B4"/>
    <w:rsid w:val="003F4657"/>
    <w:rsid w:val="003F485C"/>
    <w:rsid w:val="003F573C"/>
    <w:rsid w:val="003F7B34"/>
    <w:rsid w:val="004011C0"/>
    <w:rsid w:val="00401DEE"/>
    <w:rsid w:val="00404CC6"/>
    <w:rsid w:val="004109FB"/>
    <w:rsid w:val="00410EB0"/>
    <w:rsid w:val="00415D06"/>
    <w:rsid w:val="00425B09"/>
    <w:rsid w:val="00426913"/>
    <w:rsid w:val="00430AEE"/>
    <w:rsid w:val="00442AD3"/>
    <w:rsid w:val="004440F3"/>
    <w:rsid w:val="004526B9"/>
    <w:rsid w:val="004618F0"/>
    <w:rsid w:val="004761D5"/>
    <w:rsid w:val="00476D43"/>
    <w:rsid w:val="00481880"/>
    <w:rsid w:val="00482D46"/>
    <w:rsid w:val="004834C9"/>
    <w:rsid w:val="00491DEA"/>
    <w:rsid w:val="004A00E4"/>
    <w:rsid w:val="004B2BD9"/>
    <w:rsid w:val="004B3BAB"/>
    <w:rsid w:val="004B56B4"/>
    <w:rsid w:val="004D1C22"/>
    <w:rsid w:val="004E06FA"/>
    <w:rsid w:val="004E23CE"/>
    <w:rsid w:val="004E582D"/>
    <w:rsid w:val="004F1122"/>
    <w:rsid w:val="004F25D2"/>
    <w:rsid w:val="00507F80"/>
    <w:rsid w:val="00510475"/>
    <w:rsid w:val="00511D16"/>
    <w:rsid w:val="00517640"/>
    <w:rsid w:val="005207B6"/>
    <w:rsid w:val="00541981"/>
    <w:rsid w:val="00541FC9"/>
    <w:rsid w:val="005420F3"/>
    <w:rsid w:val="00544CDD"/>
    <w:rsid w:val="00550BEC"/>
    <w:rsid w:val="00553624"/>
    <w:rsid w:val="0056512C"/>
    <w:rsid w:val="005668FB"/>
    <w:rsid w:val="00567A4E"/>
    <w:rsid w:val="00573ED8"/>
    <w:rsid w:val="00580379"/>
    <w:rsid w:val="005836B4"/>
    <w:rsid w:val="00584394"/>
    <w:rsid w:val="00593AA6"/>
    <w:rsid w:val="00596B95"/>
    <w:rsid w:val="005A3669"/>
    <w:rsid w:val="005B0A95"/>
    <w:rsid w:val="005B11CA"/>
    <w:rsid w:val="005C6A13"/>
    <w:rsid w:val="005D1B6D"/>
    <w:rsid w:val="005E10F8"/>
    <w:rsid w:val="005E24F4"/>
    <w:rsid w:val="005E3C25"/>
    <w:rsid w:val="005E5DFF"/>
    <w:rsid w:val="005F0688"/>
    <w:rsid w:val="005F2A04"/>
    <w:rsid w:val="00602360"/>
    <w:rsid w:val="00604EC7"/>
    <w:rsid w:val="00612F38"/>
    <w:rsid w:val="0063245C"/>
    <w:rsid w:val="00632C36"/>
    <w:rsid w:val="00642EC9"/>
    <w:rsid w:val="00646987"/>
    <w:rsid w:val="00651FE1"/>
    <w:rsid w:val="0065574C"/>
    <w:rsid w:val="006572EE"/>
    <w:rsid w:val="00660715"/>
    <w:rsid w:val="006629A4"/>
    <w:rsid w:val="0066528B"/>
    <w:rsid w:val="00672E94"/>
    <w:rsid w:val="006815DF"/>
    <w:rsid w:val="00682F52"/>
    <w:rsid w:val="006835A0"/>
    <w:rsid w:val="00684AA8"/>
    <w:rsid w:val="00690A5A"/>
    <w:rsid w:val="006A7015"/>
    <w:rsid w:val="006B02D0"/>
    <w:rsid w:val="006B13C3"/>
    <w:rsid w:val="006B1506"/>
    <w:rsid w:val="006B61B9"/>
    <w:rsid w:val="006D5D32"/>
    <w:rsid w:val="006E6A6C"/>
    <w:rsid w:val="006F18B8"/>
    <w:rsid w:val="006F3AC3"/>
    <w:rsid w:val="006F6323"/>
    <w:rsid w:val="00712993"/>
    <w:rsid w:val="00722063"/>
    <w:rsid w:val="00722B4F"/>
    <w:rsid w:val="007338F3"/>
    <w:rsid w:val="007415B6"/>
    <w:rsid w:val="0074250B"/>
    <w:rsid w:val="00743964"/>
    <w:rsid w:val="0074587F"/>
    <w:rsid w:val="0075207D"/>
    <w:rsid w:val="007530F9"/>
    <w:rsid w:val="00754560"/>
    <w:rsid w:val="00756635"/>
    <w:rsid w:val="007574FC"/>
    <w:rsid w:val="00765C3E"/>
    <w:rsid w:val="00771984"/>
    <w:rsid w:val="00777EB7"/>
    <w:rsid w:val="00782843"/>
    <w:rsid w:val="00791A31"/>
    <w:rsid w:val="007A1710"/>
    <w:rsid w:val="007A210A"/>
    <w:rsid w:val="007B7631"/>
    <w:rsid w:val="007C567C"/>
    <w:rsid w:val="007D6F96"/>
    <w:rsid w:val="007E09E8"/>
    <w:rsid w:val="00801FF8"/>
    <w:rsid w:val="00810096"/>
    <w:rsid w:val="00810594"/>
    <w:rsid w:val="00812DA4"/>
    <w:rsid w:val="00827ED7"/>
    <w:rsid w:val="00834C89"/>
    <w:rsid w:val="0083561D"/>
    <w:rsid w:val="00837308"/>
    <w:rsid w:val="0084027D"/>
    <w:rsid w:val="008545A3"/>
    <w:rsid w:val="0087459F"/>
    <w:rsid w:val="00883C6B"/>
    <w:rsid w:val="008841A2"/>
    <w:rsid w:val="00890962"/>
    <w:rsid w:val="00892937"/>
    <w:rsid w:val="008A0DB0"/>
    <w:rsid w:val="008A0F23"/>
    <w:rsid w:val="008A23A6"/>
    <w:rsid w:val="008D2D82"/>
    <w:rsid w:val="008E3D1E"/>
    <w:rsid w:val="008E58FF"/>
    <w:rsid w:val="008E69C8"/>
    <w:rsid w:val="008E7446"/>
    <w:rsid w:val="008F09DA"/>
    <w:rsid w:val="008F1D7C"/>
    <w:rsid w:val="008F3C70"/>
    <w:rsid w:val="00904141"/>
    <w:rsid w:val="0091323C"/>
    <w:rsid w:val="009134BE"/>
    <w:rsid w:val="0092086A"/>
    <w:rsid w:val="009269B1"/>
    <w:rsid w:val="00933C92"/>
    <w:rsid w:val="00936F3D"/>
    <w:rsid w:val="00936FD8"/>
    <w:rsid w:val="009552A7"/>
    <w:rsid w:val="00957A94"/>
    <w:rsid w:val="00971CAD"/>
    <w:rsid w:val="0097639D"/>
    <w:rsid w:val="00982C99"/>
    <w:rsid w:val="009879AA"/>
    <w:rsid w:val="0099026B"/>
    <w:rsid w:val="009937C4"/>
    <w:rsid w:val="009A2698"/>
    <w:rsid w:val="009A5E61"/>
    <w:rsid w:val="009B794C"/>
    <w:rsid w:val="009C4A9F"/>
    <w:rsid w:val="009D2018"/>
    <w:rsid w:val="009D3C55"/>
    <w:rsid w:val="009E1950"/>
    <w:rsid w:val="009E3FE9"/>
    <w:rsid w:val="009E4FD7"/>
    <w:rsid w:val="009E59DB"/>
    <w:rsid w:val="009E7CD1"/>
    <w:rsid w:val="009F2D2C"/>
    <w:rsid w:val="009F779C"/>
    <w:rsid w:val="00A06712"/>
    <w:rsid w:val="00A11636"/>
    <w:rsid w:val="00A11D97"/>
    <w:rsid w:val="00A13148"/>
    <w:rsid w:val="00A14F8E"/>
    <w:rsid w:val="00A221B8"/>
    <w:rsid w:val="00A32DC3"/>
    <w:rsid w:val="00A32E4E"/>
    <w:rsid w:val="00A41F82"/>
    <w:rsid w:val="00A425C8"/>
    <w:rsid w:val="00A44BE4"/>
    <w:rsid w:val="00A56CD5"/>
    <w:rsid w:val="00A60E43"/>
    <w:rsid w:val="00A6289B"/>
    <w:rsid w:val="00A63585"/>
    <w:rsid w:val="00A66037"/>
    <w:rsid w:val="00A72054"/>
    <w:rsid w:val="00A74CB7"/>
    <w:rsid w:val="00A779F6"/>
    <w:rsid w:val="00A87475"/>
    <w:rsid w:val="00A93661"/>
    <w:rsid w:val="00AA2CA8"/>
    <w:rsid w:val="00AB0AD5"/>
    <w:rsid w:val="00AB2D8A"/>
    <w:rsid w:val="00AB67AA"/>
    <w:rsid w:val="00AB785F"/>
    <w:rsid w:val="00AC015C"/>
    <w:rsid w:val="00AC454C"/>
    <w:rsid w:val="00AD5C0B"/>
    <w:rsid w:val="00AD7694"/>
    <w:rsid w:val="00AE0DCA"/>
    <w:rsid w:val="00AE6E4B"/>
    <w:rsid w:val="00B0019E"/>
    <w:rsid w:val="00B06C5E"/>
    <w:rsid w:val="00B06CC3"/>
    <w:rsid w:val="00B14498"/>
    <w:rsid w:val="00B25C47"/>
    <w:rsid w:val="00B321FF"/>
    <w:rsid w:val="00B3344C"/>
    <w:rsid w:val="00B41149"/>
    <w:rsid w:val="00B43ADD"/>
    <w:rsid w:val="00B43DE8"/>
    <w:rsid w:val="00B54A2A"/>
    <w:rsid w:val="00B612C5"/>
    <w:rsid w:val="00B64961"/>
    <w:rsid w:val="00B65FB3"/>
    <w:rsid w:val="00B77C61"/>
    <w:rsid w:val="00B83F2C"/>
    <w:rsid w:val="00B871FB"/>
    <w:rsid w:val="00B87A6C"/>
    <w:rsid w:val="00B93233"/>
    <w:rsid w:val="00B937FA"/>
    <w:rsid w:val="00B939CE"/>
    <w:rsid w:val="00B97CD2"/>
    <w:rsid w:val="00BB04D4"/>
    <w:rsid w:val="00BB38A4"/>
    <w:rsid w:val="00BC232B"/>
    <w:rsid w:val="00BC4849"/>
    <w:rsid w:val="00BD618E"/>
    <w:rsid w:val="00BD76CD"/>
    <w:rsid w:val="00BE5509"/>
    <w:rsid w:val="00BE7D65"/>
    <w:rsid w:val="00C056FB"/>
    <w:rsid w:val="00C10886"/>
    <w:rsid w:val="00C12913"/>
    <w:rsid w:val="00C141E2"/>
    <w:rsid w:val="00C1683C"/>
    <w:rsid w:val="00C247D4"/>
    <w:rsid w:val="00C26332"/>
    <w:rsid w:val="00C27163"/>
    <w:rsid w:val="00C3722C"/>
    <w:rsid w:val="00C411B5"/>
    <w:rsid w:val="00C421AD"/>
    <w:rsid w:val="00C476A2"/>
    <w:rsid w:val="00C709B4"/>
    <w:rsid w:val="00C745B8"/>
    <w:rsid w:val="00C755DB"/>
    <w:rsid w:val="00C77343"/>
    <w:rsid w:val="00C83740"/>
    <w:rsid w:val="00C93435"/>
    <w:rsid w:val="00CB5456"/>
    <w:rsid w:val="00CC4771"/>
    <w:rsid w:val="00CC77BB"/>
    <w:rsid w:val="00CD3C1C"/>
    <w:rsid w:val="00CD4921"/>
    <w:rsid w:val="00CD5A64"/>
    <w:rsid w:val="00CE6290"/>
    <w:rsid w:val="00D21B68"/>
    <w:rsid w:val="00D3065F"/>
    <w:rsid w:val="00D50332"/>
    <w:rsid w:val="00D606EA"/>
    <w:rsid w:val="00D60DE9"/>
    <w:rsid w:val="00D62794"/>
    <w:rsid w:val="00D67745"/>
    <w:rsid w:val="00D678D9"/>
    <w:rsid w:val="00D71D98"/>
    <w:rsid w:val="00D742BE"/>
    <w:rsid w:val="00D777E2"/>
    <w:rsid w:val="00D80E08"/>
    <w:rsid w:val="00D814B2"/>
    <w:rsid w:val="00D81D3D"/>
    <w:rsid w:val="00D8543F"/>
    <w:rsid w:val="00D85DB4"/>
    <w:rsid w:val="00D87210"/>
    <w:rsid w:val="00D87AFD"/>
    <w:rsid w:val="00D93D68"/>
    <w:rsid w:val="00DA5F9E"/>
    <w:rsid w:val="00DB02B7"/>
    <w:rsid w:val="00DB0DC3"/>
    <w:rsid w:val="00DB1F2C"/>
    <w:rsid w:val="00DB79EF"/>
    <w:rsid w:val="00DD41C3"/>
    <w:rsid w:val="00DD4883"/>
    <w:rsid w:val="00DD4A47"/>
    <w:rsid w:val="00DD4BC7"/>
    <w:rsid w:val="00DE6EC7"/>
    <w:rsid w:val="00DE7FB1"/>
    <w:rsid w:val="00E01892"/>
    <w:rsid w:val="00E150A2"/>
    <w:rsid w:val="00E168AD"/>
    <w:rsid w:val="00E238DF"/>
    <w:rsid w:val="00E32823"/>
    <w:rsid w:val="00E34BE7"/>
    <w:rsid w:val="00E36543"/>
    <w:rsid w:val="00E63ADD"/>
    <w:rsid w:val="00E66105"/>
    <w:rsid w:val="00E74896"/>
    <w:rsid w:val="00E9414B"/>
    <w:rsid w:val="00E956B3"/>
    <w:rsid w:val="00E97C67"/>
    <w:rsid w:val="00EA3E0E"/>
    <w:rsid w:val="00EA5E63"/>
    <w:rsid w:val="00EB0500"/>
    <w:rsid w:val="00EC2754"/>
    <w:rsid w:val="00ED3A6D"/>
    <w:rsid w:val="00ED6FE7"/>
    <w:rsid w:val="00EE5192"/>
    <w:rsid w:val="00EE6971"/>
    <w:rsid w:val="00EF6299"/>
    <w:rsid w:val="00F02C2D"/>
    <w:rsid w:val="00F11266"/>
    <w:rsid w:val="00F22015"/>
    <w:rsid w:val="00F22142"/>
    <w:rsid w:val="00F23A7F"/>
    <w:rsid w:val="00F30096"/>
    <w:rsid w:val="00F301E4"/>
    <w:rsid w:val="00F31FFA"/>
    <w:rsid w:val="00F37937"/>
    <w:rsid w:val="00F466E5"/>
    <w:rsid w:val="00F50562"/>
    <w:rsid w:val="00F535DF"/>
    <w:rsid w:val="00F53AB6"/>
    <w:rsid w:val="00F61626"/>
    <w:rsid w:val="00F6395B"/>
    <w:rsid w:val="00F63F5E"/>
    <w:rsid w:val="00F644AB"/>
    <w:rsid w:val="00F65870"/>
    <w:rsid w:val="00F678B2"/>
    <w:rsid w:val="00F75361"/>
    <w:rsid w:val="00F75A2F"/>
    <w:rsid w:val="00F841CE"/>
    <w:rsid w:val="00F853B0"/>
    <w:rsid w:val="00F91445"/>
    <w:rsid w:val="00F94938"/>
    <w:rsid w:val="00F94CE5"/>
    <w:rsid w:val="00FB4D49"/>
    <w:rsid w:val="00FB67CA"/>
    <w:rsid w:val="00FC2081"/>
    <w:rsid w:val="00FC2B2E"/>
    <w:rsid w:val="00FC762C"/>
    <w:rsid w:val="00FC7C2C"/>
    <w:rsid w:val="00FD17A3"/>
    <w:rsid w:val="00FD340F"/>
    <w:rsid w:val="00FD35C6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FF9DC-ACD8-4823-9E6F-BE22E5C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036F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translate">
    <w:name w:val="notranslate"/>
    <w:basedOn w:val="DefaultParagraphFont"/>
    <w:rsid w:val="00036F5D"/>
  </w:style>
  <w:style w:type="table" w:styleId="TableGrid">
    <w:name w:val="Table Grid"/>
    <w:basedOn w:val="TableNormal"/>
    <w:rsid w:val="00D6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66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66E5"/>
    <w:rPr>
      <w:sz w:val="24"/>
      <w:szCs w:val="24"/>
    </w:rPr>
  </w:style>
  <w:style w:type="paragraph" w:styleId="Footer">
    <w:name w:val="footer"/>
    <w:basedOn w:val="Normal"/>
    <w:link w:val="FooterChar"/>
    <w:rsid w:val="00F466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466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hoidhvgoka</vt:lpstr>
    </vt:vector>
  </TitlesOfParts>
  <Company>000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hoidhvgoka</dc:title>
  <dc:subject/>
  <dc:creator>vuanh</dc:creator>
  <cp:keywords/>
  <dc:description/>
  <cp:lastModifiedBy>USER</cp:lastModifiedBy>
  <cp:revision>2</cp:revision>
  <cp:lastPrinted>2017-04-24T04:48:00Z</cp:lastPrinted>
  <dcterms:created xsi:type="dcterms:W3CDTF">2017-05-12T07:56:00Z</dcterms:created>
  <dcterms:modified xsi:type="dcterms:W3CDTF">2017-05-12T07:56:00Z</dcterms:modified>
</cp:coreProperties>
</file>